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53"/>
      </w:tblGrid>
      <w:tr w:rsidR="003F3C30" w:rsidRPr="00CB4753" w:rsidTr="00A518F3">
        <w:trPr>
          <w:cantSplit/>
          <w:jc w:val="right"/>
        </w:trPr>
        <w:tc>
          <w:tcPr>
            <w:tcW w:w="10353" w:type="dxa"/>
          </w:tcPr>
          <w:tbl>
            <w:tblPr>
              <w:tblW w:w="10319" w:type="dxa"/>
              <w:jc w:val="right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10319"/>
            </w:tblGrid>
            <w:tr w:rsidR="003F3C30" w:rsidRPr="00CB4753" w:rsidTr="003F3C30">
              <w:trPr>
                <w:cantSplit/>
                <w:jc w:val="right"/>
              </w:trPr>
              <w:tc>
                <w:tcPr>
                  <w:tcW w:w="10319" w:type="dxa"/>
                </w:tcPr>
                <w:p w:rsidR="003F3C30" w:rsidRPr="00CB4753" w:rsidRDefault="003F3C30" w:rsidP="003F3C30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Узгоджено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Погоджувальною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радою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депутатських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фракцій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і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груп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F3C30" w:rsidRPr="00CB4753" w:rsidTr="003F3C30">
              <w:trPr>
                <w:cantSplit/>
                <w:trHeight w:val="179"/>
                <w:jc w:val="right"/>
              </w:trPr>
              <w:tc>
                <w:tcPr>
                  <w:tcW w:w="10319" w:type="dxa"/>
                </w:tcPr>
                <w:p w:rsidR="003F3C30" w:rsidRPr="00CB4753" w:rsidRDefault="003F3C30" w:rsidP="003F3C30">
                  <w:pPr>
                    <w:jc w:val="right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21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лютого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2022</w:t>
                  </w:r>
                  <w:r w:rsidR="00EA7F49"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Pr="00CB4753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року</w:t>
                  </w:r>
                </w:p>
              </w:tc>
            </w:tr>
          </w:tbl>
          <w:p w:rsidR="003F3C30" w:rsidRPr="00CB4753" w:rsidRDefault="003F3C30" w:rsidP="003F3C30">
            <w:pPr>
              <w:rPr>
                <w:rFonts w:ascii="Times New Roman" w:hAnsi="Times New Roman"/>
              </w:rPr>
            </w:pPr>
          </w:p>
        </w:tc>
      </w:tr>
    </w:tbl>
    <w:p w:rsidR="00EA7F49" w:rsidRPr="00CB4753" w:rsidRDefault="00EA7F49" w:rsidP="00522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B64" w:rsidRPr="00CB4753" w:rsidRDefault="00EE2B64" w:rsidP="0052265C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</w:pP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Р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О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З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К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Л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А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Д</w:t>
      </w:r>
    </w:p>
    <w:p w:rsidR="00EE2B64" w:rsidRPr="00CB4753" w:rsidRDefault="00EE2B64" w:rsidP="0052265C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</w:pPr>
      <w:r w:rsidRPr="00CB47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>засідань</w:t>
      </w:r>
      <w:r w:rsidR="00EA7F49" w:rsidRPr="00CB47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>Верховної</w:t>
      </w:r>
      <w:r w:rsidR="00EA7F49" w:rsidRPr="00CB47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>Ради</w:t>
      </w:r>
      <w:r w:rsidR="00EA7F49" w:rsidRPr="00CB47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>України</w:t>
      </w:r>
    </w:p>
    <w:p w:rsidR="00D97C49" w:rsidRPr="00CB4753" w:rsidRDefault="00EE2B64" w:rsidP="00B26E5E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</w:pP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на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="00A518F3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22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="005A12DF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–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="00A518F3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25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="00457BA3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лютого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="00995BD4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2022</w:t>
      </w:r>
      <w:r w:rsidR="00EA7F49"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  <w:t>року</w:t>
      </w:r>
    </w:p>
    <w:p w:rsidR="00404943" w:rsidRPr="00CB4753" w:rsidRDefault="00404943" w:rsidP="00B26E5E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iCs/>
          <w:spacing w:val="14"/>
          <w:sz w:val="24"/>
          <w:szCs w:val="24"/>
          <w:lang w:eastAsia="ru-RU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6662"/>
        <w:gridCol w:w="2268"/>
      </w:tblGrid>
      <w:tr w:rsidR="00B26E5E" w:rsidRPr="00CB4753" w:rsidTr="00B734B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5E" w:rsidRPr="00CB4753" w:rsidRDefault="00B26E5E" w:rsidP="00EA3C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Реєстр.</w:t>
            </w:r>
            <w:r w:rsidR="00EA7F49"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5E" w:rsidRPr="00CB4753" w:rsidRDefault="00B26E5E" w:rsidP="00EA3C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2"/>
            </w:r>
            <w:proofErr w:type="spellStart"/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єкт</w:t>
            </w:r>
            <w:proofErr w:type="spellEnd"/>
            <w:r w:rsidR="00EA7F49"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ініціативи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5E" w:rsidRPr="00CB4753" w:rsidRDefault="00B26E5E" w:rsidP="00EA3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r w:rsidR="00EA7F49"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законопроект</w:t>
            </w:r>
            <w:bookmarkStart w:id="0" w:name="_GoBack"/>
            <w:bookmarkEnd w:id="0"/>
            <w:r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EA7F49"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(питання)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5E" w:rsidRPr="00CB4753" w:rsidRDefault="00B26E5E" w:rsidP="00EA3C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  <w:p w:rsidR="00B26E5E" w:rsidRPr="00CB4753" w:rsidRDefault="00B26E5E" w:rsidP="00EA3C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</w:t>
            </w:r>
            <w:r w:rsidR="00EA7F49"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підготовку</w:t>
            </w:r>
          </w:p>
        </w:tc>
      </w:tr>
    </w:tbl>
    <w:p w:rsidR="0043382F" w:rsidRPr="00CB4753" w:rsidRDefault="0043382F" w:rsidP="00477694">
      <w:pPr>
        <w:keepNext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6946"/>
        <w:gridCol w:w="2268"/>
      </w:tblGrid>
      <w:tr w:rsidR="00B26E5E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26E5E" w:rsidRPr="00CB4753" w:rsidRDefault="00B26E5E" w:rsidP="008C012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6E5E" w:rsidRPr="00CB4753" w:rsidRDefault="00B26E5E" w:rsidP="008C012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B26E5E" w:rsidRPr="00CB4753" w:rsidRDefault="00A518F3" w:rsidP="008C01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EA7F49" w:rsidRPr="00CB47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26E5E" w:rsidRPr="00CB47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лютого</w:t>
            </w:r>
            <w:r w:rsidR="00EA7F49" w:rsidRPr="00CB47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26E5E" w:rsidRPr="00CB47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(вівторок)</w:t>
            </w:r>
          </w:p>
        </w:tc>
        <w:tc>
          <w:tcPr>
            <w:tcW w:w="2268" w:type="dxa"/>
            <w:shd w:val="clear" w:color="auto" w:fill="auto"/>
          </w:tcPr>
          <w:p w:rsidR="00B26E5E" w:rsidRPr="00CB4753" w:rsidRDefault="00B26E5E" w:rsidP="008C012E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26E5E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26E5E" w:rsidRPr="00CB4753" w:rsidRDefault="00B26E5E" w:rsidP="008C012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6E5E" w:rsidRPr="00CB4753" w:rsidRDefault="00B26E5E" w:rsidP="008C012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B26E5E" w:rsidRPr="00CB4753" w:rsidRDefault="00B26E5E" w:rsidP="008C01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B26E5E" w:rsidRPr="00CB4753" w:rsidRDefault="00B26E5E" w:rsidP="008C012E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26E5E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26E5E" w:rsidRPr="00CB4753" w:rsidRDefault="003F3C30" w:rsidP="008C012E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bookmarkStart w:id="1" w:name="gip"/>
            <w:bookmarkEnd w:id="1"/>
            <w:r w:rsidRPr="00CB4753">
              <w:rPr>
                <w:rFonts w:ascii="Times New Roman" w:hAnsi="Times New Roman"/>
                <w:szCs w:val="22"/>
                <w:lang w:val="uk-UA"/>
              </w:rPr>
              <w:t>6575-1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6E5E" w:rsidRPr="00CB4753" w:rsidRDefault="00B26E5E" w:rsidP="008C012E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26E5E" w:rsidRPr="00CB4753" w:rsidRDefault="00B26E5E" w:rsidP="008B334A">
            <w:pPr>
              <w:pStyle w:val="Table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8B334A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 xml:space="preserve"> </w:t>
            </w:r>
            <w:r w:rsidR="008B334A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 xml:space="preserve"> </w:t>
            </w:r>
            <w:r w:rsidR="008B334A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 xml:space="preserve"> </w:t>
            </w:r>
            <w:r w:rsidR="008B334A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 xml:space="preserve"> </w:t>
            </w:r>
            <w:r w:rsidR="008B334A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>денного</w:t>
            </w:r>
            <w:r w:rsidR="00EA7F49" w:rsidRPr="00CB4753">
              <w:rPr>
                <w:rFonts w:ascii="Times New Roman" w:hAnsi="Times New Roman"/>
                <w:spacing w:val="2"/>
                <w:kern w:val="16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сьомої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сесії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Верховної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дев'ятого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скликання</w:t>
            </w:r>
          </w:p>
        </w:tc>
        <w:tc>
          <w:tcPr>
            <w:tcW w:w="2268" w:type="dxa"/>
            <w:shd w:val="clear" w:color="auto" w:fill="auto"/>
          </w:tcPr>
          <w:p w:rsidR="00B26E5E" w:rsidRPr="00CB4753" w:rsidRDefault="00B26E5E" w:rsidP="008C012E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43382F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43382F" w:rsidRPr="00CB4753" w:rsidRDefault="0043382F" w:rsidP="008C012E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82F" w:rsidRPr="00CB4753" w:rsidRDefault="0043382F" w:rsidP="008C012E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43382F" w:rsidRPr="00CB4753" w:rsidRDefault="0043382F" w:rsidP="0043382F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43382F" w:rsidRPr="00CB4753" w:rsidRDefault="0043382F" w:rsidP="008C012E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2494A" w:rsidRPr="00CB4753" w:rsidTr="00EA7F49">
        <w:trPr>
          <w:cantSplit/>
          <w:trHeight w:val="1129"/>
        </w:trPr>
        <w:tc>
          <w:tcPr>
            <w:tcW w:w="993" w:type="dxa"/>
            <w:shd w:val="clear" w:color="auto" w:fill="auto"/>
          </w:tcPr>
          <w:p w:rsidR="00B2494A" w:rsidRPr="00CB4753" w:rsidRDefault="00B2494A" w:rsidP="00B2494A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6454</w:t>
            </w:r>
          </w:p>
          <w:p w:rsidR="00BA1D42" w:rsidRPr="00CB4753" w:rsidRDefault="00B2494A" w:rsidP="00B2494A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6454-1</w:t>
            </w:r>
          </w:p>
          <w:p w:rsidR="00B2494A" w:rsidRPr="00CB4753" w:rsidRDefault="00BA1D42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6454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-д 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94A" w:rsidRPr="00CB4753" w:rsidRDefault="00B2494A" w:rsidP="008C012E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2494A" w:rsidRPr="00CB4753" w:rsidRDefault="00B2494A" w:rsidP="008C012E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2494A" w:rsidRPr="00CB4753" w:rsidRDefault="00B2494A" w:rsidP="00B2494A">
            <w:pPr>
              <w:pStyle w:val="Table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Кримінального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процесуального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дотримання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розумних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строків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кримінального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провадження)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І.Геращенко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22.12.2021,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О.Федієнка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05.01.2022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О.Федієнка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05.01.2022,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С.Іонушаса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одержано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доопрацьований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59729C" w:rsidRPr="00CB4753">
              <w:rPr>
                <w:rFonts w:ascii="Times New Roman" w:hAnsi="Times New Roman"/>
                <w:szCs w:val="22"/>
                <w:lang w:val="uk-UA"/>
              </w:rPr>
              <w:t>21.02.2022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2494A" w:rsidRPr="00CB4753" w:rsidRDefault="00B2494A" w:rsidP="008C012E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szCs w:val="22"/>
                <w:lang w:val="uk-UA"/>
              </w:rPr>
              <w:t>С.Іонушас</w:t>
            </w:r>
          </w:p>
        </w:tc>
      </w:tr>
      <w:tr w:rsidR="0043382F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43382F" w:rsidRPr="00CB4753" w:rsidRDefault="0043382F" w:rsidP="0043382F">
            <w:pPr>
              <w:pStyle w:val="Table"/>
              <w:rPr>
                <w:rFonts w:ascii="Times New Roman" w:hAnsi="Times New Roman"/>
                <w:szCs w:val="22"/>
                <w:lang w:val="uk-UA" w:eastAsia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6416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382F" w:rsidRPr="00CB4753" w:rsidRDefault="0043382F" w:rsidP="0043382F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43382F" w:rsidRPr="00CB4753" w:rsidRDefault="0043382F" w:rsidP="0043382F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пункту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3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розділу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"Прикінцеві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перехідні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положення"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публічні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закупівлі"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закупівлі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лікарських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засобів,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медичних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виробів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допоміжних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засобів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особою,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уповноваженою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здійснення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закупівель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охорони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здоров'я,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залученням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спеціалізованих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організацій,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які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здійснюють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закупівлі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14.12.2021)</w:t>
            </w:r>
          </w:p>
        </w:tc>
        <w:tc>
          <w:tcPr>
            <w:tcW w:w="2268" w:type="dxa"/>
            <w:shd w:val="clear" w:color="auto" w:fill="auto"/>
          </w:tcPr>
          <w:p w:rsidR="0043382F" w:rsidRPr="00CB4753" w:rsidRDefault="0043382F" w:rsidP="0043382F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43382F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43382F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43382F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5323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регіональної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політики"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22.09.2021)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5801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певних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питань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управління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майном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потреб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Збройних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Сил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Л.Білозір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20.07.2021)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О.Завітневич</w:t>
            </w:r>
          </w:p>
        </w:tc>
      </w:tr>
      <w:tr w:rsidR="00F36C3E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F36C3E" w:rsidRPr="00CB4753" w:rsidRDefault="00F36C3E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C3E" w:rsidRPr="00CB4753" w:rsidRDefault="00F36C3E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F36C3E" w:rsidRPr="00CB4753" w:rsidRDefault="00B96313" w:rsidP="00B96313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включення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денного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прийняття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рішення</w:t>
            </w:r>
          </w:p>
        </w:tc>
        <w:tc>
          <w:tcPr>
            <w:tcW w:w="2268" w:type="dxa"/>
            <w:shd w:val="clear" w:color="auto" w:fill="auto"/>
          </w:tcPr>
          <w:p w:rsidR="00F36C3E" w:rsidRPr="00CB4753" w:rsidRDefault="00F36C3E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6559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7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банки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банківську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діяльність"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28.01.2022)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F36C3E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F36C3E" w:rsidRPr="00CB4753" w:rsidRDefault="00F36C3E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C3E" w:rsidRPr="00CB4753" w:rsidRDefault="00F36C3E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F36C3E" w:rsidRPr="00CB4753" w:rsidRDefault="00B96313" w:rsidP="00B96313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F36C3E" w:rsidRPr="00CB4753" w:rsidRDefault="00F36C3E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5108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статистичної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23.02.2021)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5610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звільнення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оподаткування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додану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вартість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операцій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трансплантації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анатомічних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матеріалів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людині)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О.Дмитрієвої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05.07.2021)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6320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sym w:font="Symbol" w:char="F0B7"/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спрощення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інформації,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необхідної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проведення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фінансового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моніторингу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19.11.2021)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 w:eastAsia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4378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17.01.2022)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М.Крячко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5397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“Про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приватизацію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комунального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майна”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уточнення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положень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сприяння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залученню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інвестицій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процесі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приватизації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(повторне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EA7F49" w:rsidRPr="00CB4753" w:rsidRDefault="007D5A11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5708</w:t>
            </w:r>
          </w:p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5708-1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49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цивільну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вогнепальну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зброю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І.Фріса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29.06.2021,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А.Шараськіна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14.07.2021)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EA7F49" w:rsidRPr="00CB4753" w:rsidRDefault="007D5A11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5709</w:t>
            </w:r>
          </w:p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5709-1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49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адміністративні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правопорушення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Кримінального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реалізації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положень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цивільну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вогнепальну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зброю"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І.Фріса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заміну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09.07.2021,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А.Шараськіна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14.07.2021)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4487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свобод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внутрішньо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переміщених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осіб"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17.12.2021)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Д.Лубінець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4517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Митного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процедури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складання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митних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декларацій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товари,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які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підпадають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різні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товарні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підпозиції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згідно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УКТЗЕД,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відповідно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Митного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Європейського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Союзу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14.12.2021)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3793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масштабної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експансії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експорту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товарів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(робіт,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послуг)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походження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шляхом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страхування,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гарантування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здешевлення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кредитування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експорту"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ефективного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функціонування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експортно-кредитного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агентства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10.02.2022)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5125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кредитні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спілки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(повторне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07.12.2021)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4323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застосування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засуджених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осіб,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які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тримаються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вартою,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заходів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примусового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годування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13.12.2021)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5602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Загальнодержавної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зняття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експлуатації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Чорнобильської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АЕС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перетворення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об'єкта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"Укриття"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екологічно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безпечну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систему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07.06.2021)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5159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запровадження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відповідальності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порушення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здійснення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стратегічної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екологічної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оцінки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02.03.2021)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5547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лікарські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засоби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15.12.2021)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М.Радуцький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4366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платіжних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послуг)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О.Василевської-Смаглюк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16.11.2020)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3758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аспектів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реалізації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принципів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академічної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доброчесності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І.Совсун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С.Бабак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6341</w:t>
            </w:r>
          </w:p>
          <w:p w:rsidR="00CA4435" w:rsidRPr="00CB4753" w:rsidRDefault="00CA4435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6341-1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1C34DC" w:rsidRPr="00CB4753" w:rsidRDefault="001C34DC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1C34DC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основні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політики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утвердження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національної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громадянської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ідентичності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CA4435"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CA4435" w:rsidRPr="00CB4753">
              <w:rPr>
                <w:rFonts w:ascii="Times New Roman" w:hAnsi="Times New Roman"/>
                <w:szCs w:val="22"/>
                <w:lang w:val="uk-UA"/>
              </w:rPr>
              <w:t>В.Мокана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CA4435"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CA4435" w:rsidRPr="00CB4753">
              <w:rPr>
                <w:rFonts w:ascii="Times New Roman" w:hAnsi="Times New Roman"/>
                <w:szCs w:val="22"/>
                <w:lang w:val="uk-UA"/>
              </w:rPr>
              <w:t>25.11.2021,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1C34DC"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1C34DC"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1C34DC" w:rsidRPr="00CB4753">
              <w:rPr>
                <w:rFonts w:ascii="Times New Roman" w:hAnsi="Times New Roman"/>
                <w:szCs w:val="22"/>
                <w:lang w:val="uk-UA"/>
              </w:rPr>
              <w:t>М.Бужанського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1C34DC"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1C34DC" w:rsidRPr="00CB4753">
              <w:rPr>
                <w:rFonts w:ascii="Times New Roman" w:hAnsi="Times New Roman"/>
                <w:szCs w:val="22"/>
                <w:lang w:val="uk-UA"/>
              </w:rPr>
              <w:t>08.12.2021)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А.Кожем'якін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5325</w:t>
            </w:r>
          </w:p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5325-1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  <w:p w:rsidR="00B51311" w:rsidRPr="00CB4753" w:rsidRDefault="00B513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51311" w:rsidRPr="00CB4753" w:rsidRDefault="00B513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стандарти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гарантії"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фізичну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культуру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спорт"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запровадження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стандартів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фізичної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культури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спорту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нормативів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послуг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суб'єктами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фізичної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культури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спорту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06.04.2021,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Королевської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20.04.2021)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А.Кожем'якін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5339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механізму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викидів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забруднюючих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речовин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атмосферне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повітря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23.11.2021)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4594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219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адміністративні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правопорушення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розширення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повноважень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інспекторів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паркування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інтересів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осіб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інвалідністю)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11.11.2021)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6310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Верховної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обрання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голів,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перших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заступників,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заступників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голів,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секретарів,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членів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Верховної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дев'ятого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скликання"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А.Мотовиловця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17.11.2021)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С.Кальченко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3196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>-д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Службу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організаційно-правових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засад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Служби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(нова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редакція)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19.10.2021)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О.Завітневич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4212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22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рекламу"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реклами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електронних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сигарет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рідин,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використовуються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електронних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сигаретах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17.12.2021)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М.Потураєв</w:t>
            </w:r>
          </w:p>
        </w:tc>
      </w:tr>
      <w:tr w:rsidR="007D5A11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7D5A11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7D5A11" w:rsidRPr="00CB4753" w:rsidRDefault="007D5A11" w:rsidP="007D5A11">
            <w:pPr>
              <w:pStyle w:val="Table"/>
              <w:jc w:val="center"/>
              <w:rPr>
                <w:rFonts w:ascii="Times New Roman" w:hAnsi="Times New Roman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</w:t>
            </w:r>
            <w:r w:rsidR="00EA7F49"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лютого</w:t>
            </w:r>
            <w:r w:rsidR="00EA7F49"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(середа)</w:t>
            </w:r>
          </w:p>
        </w:tc>
        <w:tc>
          <w:tcPr>
            <w:tcW w:w="2268" w:type="dxa"/>
            <w:shd w:val="clear" w:color="auto" w:fill="auto"/>
          </w:tcPr>
          <w:p w:rsidR="007D5A11" w:rsidRPr="00CB4753" w:rsidRDefault="007D5A11" w:rsidP="007D5A11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3904FF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3904FF" w:rsidRPr="00CB4753" w:rsidRDefault="003904FF" w:rsidP="003904FF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904FF" w:rsidRPr="00CB4753" w:rsidRDefault="003904FF" w:rsidP="003904FF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3904FF" w:rsidRPr="00CB4753" w:rsidRDefault="003904FF" w:rsidP="003904FF">
            <w:pPr>
              <w:pStyle w:val="Table"/>
              <w:jc w:val="center"/>
              <w:rPr>
                <w:rFonts w:ascii="Times New Roman" w:hAnsi="Times New Roman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3904FF" w:rsidRPr="00CB4753" w:rsidRDefault="003904FF" w:rsidP="003904FF">
            <w:pPr>
              <w:pStyle w:val="Table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3904FF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3904FF" w:rsidRPr="00CB4753" w:rsidRDefault="003904FF" w:rsidP="003904FF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5229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904FF" w:rsidRPr="00CB4753" w:rsidRDefault="003904FF" w:rsidP="003904FF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3904FF" w:rsidRPr="00CB4753" w:rsidRDefault="003904FF" w:rsidP="003904FF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власності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інших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речових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нерухоме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майно,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належать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дітям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підопічним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особам)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І.Фріса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16.03.2021)</w:t>
            </w:r>
          </w:p>
        </w:tc>
        <w:tc>
          <w:tcPr>
            <w:tcW w:w="2268" w:type="dxa"/>
            <w:shd w:val="clear" w:color="auto" w:fill="auto"/>
          </w:tcPr>
          <w:p w:rsidR="003904FF" w:rsidRPr="00CB4753" w:rsidRDefault="003904FF" w:rsidP="003904FF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включення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денного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прийняття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рішення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6537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публічні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закупівлі"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спрощення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проведення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процедур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закупівель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рахунок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коштів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бюджетів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місцевого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cамоврядування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Б.Приходька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25.01.2022)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color w:val="000000" w:themeColor="text1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6145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color w:val="000000" w:themeColor="text1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color w:val="000000" w:themeColor="text1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зміни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приєднання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Конвенції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юрисдикцію,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право,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що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застосовується,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визнання,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виконання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співробітництво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батьківської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відповідальності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заходів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дітей"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11.10.2021)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4409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процедур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банкрутства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(готується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01.02.2022)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color w:val="000000"/>
                <w:szCs w:val="22"/>
                <w:lang w:val="uk-UA"/>
              </w:rPr>
              <w:t>питання</w:t>
            </w:r>
            <w:r w:rsidR="00EA7F49" w:rsidRPr="00CB4753">
              <w:rPr>
                <w:rFonts w:ascii="Times New Roman" w:hAnsi="Times New Roman"/>
                <w:b/>
                <w:i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color w:val="000000"/>
                <w:szCs w:val="22"/>
                <w:lang w:val="uk-UA"/>
              </w:rPr>
              <w:t>ратифікації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0137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ратифікацію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між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Королівством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Бельгія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здійснення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оплачуваної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членами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сімей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співробітників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дипломатичних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представництв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консульських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установ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22.11.2021)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І.Климпуш-Цинцадзе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0139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ратифікацію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між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Литовською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Республікою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доповнень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Договору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між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Литовською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Республікою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16.12.2021)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І.Климпуш-Цинцадзе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0142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ратифікацію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між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Україною,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однієї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сторони,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Європейським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Союзом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Європейським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співтовариством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атомної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енергії,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іншої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сторони,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участь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Рамковій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досліджень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інновацій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"Горизонт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Європа"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досліджень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навчання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Європейського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співтовариства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атомної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енергії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(2021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2025),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комплементарній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Рамкової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досліджень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інновацій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"Горизонт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Європа"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25.01.2022)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І.Климпуш-Цинцадзе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0132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ратифікацію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Конвенції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визнання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виконання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іноземних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рішень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цивільних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або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комерційних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справах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09.11.2021)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0130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ратифікацію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Європейської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конвенції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скасування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легалізації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документів,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складених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дипломатичними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агентами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консульськими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посадовими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особами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0131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ратифікацію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між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Урядом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Туніської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Республіки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співробітництво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взаємну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допомогу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митних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справах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0127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ратифікацію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Протоколу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застосовується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зобов'язань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утримання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0140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приєднання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Конвенції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транскордонний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вплив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промислових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аварій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30.12.2021)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0074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вихід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співпрацю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учасниць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Співдружності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Незалежних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боротьбі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незаконною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міграцією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19.10.2020)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0093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вихід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співробітництва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розвитку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використанні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систем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стільникового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рухомого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зв'язку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11.03.2021)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0084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вихід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Спільний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аграрний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ринок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учасниць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Співдружності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Незалежних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29.12.2020)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0141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вихід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Протоколу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поправок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Міжурядовий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фельд'єгерський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зв'язок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04.01.2022)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О.Мережко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color w:val="000000"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color w:val="000000"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2762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положень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попередній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договір)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О.Качури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21.01.†)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4558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поводження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пестицидами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агрохімікатами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С.Лабазюка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04.01.2021)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6023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вжиття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невідкладних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заходів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спрямованих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належної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діагностики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лікування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хворих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хворобу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Паркінсона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І.Констанкевич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М.Радуцький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5079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перейменування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села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Поминик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Уманського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району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Черкаської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області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А.Клочка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поданням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розгляд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17.02.2021)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6109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перейменування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селища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Ленінка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Гайсинського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району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Вінницької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області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А.Клочка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висновком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розгляд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6219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перейменування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села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Новгородківка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Мелітопольського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району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Запорізької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області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А.Клочка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висновком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розгляд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26.10.2021)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6556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встановлення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меж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Вилкове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Ізмаїльського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району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Одеської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області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28.01.2022)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6220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перейменування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села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Латівка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Одеського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району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Одеської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області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А.Клочка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26.10.2021)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6299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6299-1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інших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посилення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боротьби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тіньовим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обігом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О.Мовчана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11.11.2021,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А.Холодова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–29.11.2021)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5305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засад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бюро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розслідувань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03.12.2021)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5050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5050-1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адміністративні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правопорушення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честі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гідності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працівників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Національної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поліції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членів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громадських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формувань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охорони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кордону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військовослужбовців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В.Крейденка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11.02.2021,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В.Медяника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26.02.2021)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4265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реєстрацію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геномної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інформації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людини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(повторне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доопрацьований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21.05.2021)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5650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збереження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лісів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22.11.2021)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3716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Повітряного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безпілотних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повітряних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суден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цивільної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авіації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поправок-2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19.07.2021)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Ю.Кісєль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399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Робота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комітетах,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фракціях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групах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399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</w:t>
            </w:r>
            <w:r w:rsidR="00EA7F49"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лютого</w:t>
            </w:r>
            <w:r w:rsidR="00EA7F49"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(четвер)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color w:val="000000" w:themeColor="text1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color w:val="000000" w:themeColor="text1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3805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color w:val="000000" w:themeColor="text1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color w:val="000000" w:themeColor="text1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адміністративні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правопорушення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Кримінального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посилення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відповідальності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за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порушення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видалення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зелених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насаджень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23.06.2021)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color w:val="000000" w:themeColor="text1"/>
                <w:szCs w:val="22"/>
                <w:lang w:val="uk-UA"/>
              </w:rPr>
              <w:t>С.Іонушас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7038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7038-1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7038-2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запровадження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диференційованої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рентної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плати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видобування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газу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природного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Д.Гетманцева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10.02.2022,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15.02.2022,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О.Дубінського)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95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7012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7012-1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7012-2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бюджет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2022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рік"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збільшення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видатків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оборону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Я.Железняка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07.02.2022,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Д.Гетманцева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10.02.2022,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О.Завітневича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15.02.2022)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szCs w:val="22"/>
                <w:lang w:val="uk-UA"/>
              </w:rPr>
              <w:t>Ю.Арістов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6394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6394-1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6394-2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6394-3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  <w:r w:rsidRPr="00CB4753">
              <w:rPr>
                <w:rFonts w:ascii="Times New Roman" w:hAnsi="Times New Roman"/>
                <w:b/>
                <w:szCs w:val="22"/>
                <w:lang w:val="uk-UA"/>
              </w:rPr>
              <w:sym w:font="Symbol" w:char="F0B7"/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економічний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паспорт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Н.Южаніної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М.Цимбалюка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Н.Королевської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6395</w:t>
            </w:r>
          </w:p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6395-1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6395-2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  <w:r w:rsidRPr="00CB4753">
              <w:rPr>
                <w:rFonts w:ascii="Times New Roman" w:hAnsi="Times New Roman"/>
                <w:b/>
                <w:szCs w:val="22"/>
                <w:lang w:val="uk-UA"/>
              </w:rPr>
              <w:sym w:font="Symbol" w:char="F0B7"/>
            </w:r>
          </w:p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Бюджетного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системи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економічного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паспорта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М.Цимбалюка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Н.Королевської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Ю.Арістов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6396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6396-1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6396-2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  <w:r w:rsidRPr="00CB4753">
              <w:rPr>
                <w:rFonts w:ascii="Times New Roman" w:hAnsi="Times New Roman"/>
                <w:b/>
                <w:szCs w:val="22"/>
                <w:lang w:val="uk-UA"/>
              </w:rPr>
              <w:sym w:font="Symbol" w:char="F0B7"/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оподаткування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коштів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Фонду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майбутніх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поколінь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Н.Южаніної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Н.Королевської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-28.12.2021)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6289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Земельного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інших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розширення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постійних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користувачів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земельних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ділянок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А.Чорноморова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09.11.2021)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5627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уточнення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терміну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нематеріальних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активів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О.Жмеренецького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08.06.2021)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А.Радіна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4753">
              <w:rPr>
                <w:rFonts w:ascii="Times New Roman" w:eastAsia="Times New Roman" w:hAnsi="Times New Roman"/>
                <w:color w:val="000000"/>
              </w:rPr>
              <w:t>6103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4753">
              <w:rPr>
                <w:rFonts w:ascii="Times New Roman" w:eastAsia="Times New Roman" w:hAnsi="Times New Roman"/>
                <w:color w:val="000000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r w:rsidRPr="00CB4753">
              <w:rPr>
                <w:rFonts w:ascii="Times New Roman" w:eastAsia="Times New Roman" w:hAnsi="Times New Roman"/>
                <w:color w:val="000000"/>
              </w:rPr>
              <w:t>Проект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Закону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про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внесення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змін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до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розділу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VI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"Прикінцеві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та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перехідні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положення"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Закону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України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"Про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житлово-комунальні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послуги"</w:t>
            </w:r>
            <w:r w:rsidR="00EA7F49" w:rsidRPr="00CB475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(друге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читання)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(проект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Кабінету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Міністрів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України)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hanging="2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B4753">
              <w:rPr>
                <w:rFonts w:ascii="Times New Roman" w:eastAsia="Times New Roman" w:hAnsi="Times New Roman"/>
                <w:i/>
                <w:color w:val="000000"/>
              </w:rPr>
              <w:t>А.Герус</w:t>
            </w:r>
            <w:proofErr w:type="spellEnd"/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2515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адміністративні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правопорушення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посилення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адміністративної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відповідальності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незаконну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торгівлю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пальним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08.07.2021)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5542-1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стабільності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системи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гарантування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вкладів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фізичних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осіб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5120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зв'язку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ратифікацією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Конвенції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угоди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вибір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14.12.2021)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5420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  <w:r w:rsidRPr="00CB4753">
              <w:rPr>
                <w:rFonts w:ascii="Times New Roman" w:hAnsi="Times New Roman"/>
                <w:b/>
                <w:szCs w:val="22"/>
                <w:lang w:val="uk-UA"/>
              </w:rPr>
              <w:sym w:font="Symbol" w:char="F0B7"/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Кримінального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Кримінального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процесуального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криміналізації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контрабанди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товарів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підакцизних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товарів,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також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недостовірного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декларування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товарів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4753">
              <w:rPr>
                <w:rFonts w:ascii="Times New Roman" w:eastAsia="Times New Roman" w:hAnsi="Times New Roman"/>
                <w:color w:val="000000"/>
              </w:rPr>
              <w:t>5196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4753">
              <w:rPr>
                <w:rFonts w:ascii="Times New Roman" w:eastAsia="Times New Roman" w:hAnsi="Times New Roman"/>
                <w:color w:val="000000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4753">
              <w:rPr>
                <w:rFonts w:ascii="Times New Roman" w:eastAsia="Times New Roman" w:hAnsi="Times New Roman"/>
                <w:color w:val="000000"/>
              </w:rPr>
              <w:t>Проект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Постанови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про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утворення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Тимчасової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слідчої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комісії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Верховної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Ради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України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з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питань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розслідування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фактів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корупції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на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державних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підприємствах,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в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установах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та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організаціях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Національної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академії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аграрних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наук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України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(проект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н.д.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4753">
              <w:rPr>
                <w:rFonts w:ascii="Times New Roman" w:eastAsia="Times New Roman" w:hAnsi="Times New Roman"/>
                <w:color w:val="000000"/>
              </w:rPr>
              <w:t>А.Гунька</w:t>
            </w:r>
            <w:proofErr w:type="spellEnd"/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надано</w:t>
            </w:r>
            <w:r w:rsidR="00EA7F49" w:rsidRPr="00CB47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color w:val="000000"/>
              </w:rPr>
              <w:t>05.03.2021)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4753">
              <w:rPr>
                <w:rFonts w:ascii="Times New Roman" w:eastAsia="Times New Roman" w:hAnsi="Times New Roman"/>
                <w:i/>
                <w:color w:val="000000"/>
              </w:rPr>
              <w:t>С.Кальченко</w:t>
            </w:r>
            <w:proofErr w:type="spellEnd"/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5492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110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111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Сімейного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М.Бардіної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18.05.2021)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М.Потураєв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3602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частини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5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45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запобігання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корупції"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усунення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невизначеності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обов'язків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членів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адвокатського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самоврядування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стосовно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заповнення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декларацій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осіб,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уповноважених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виконання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функцій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або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місцевого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самоврядування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О.Дануци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11.06.2020,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А.Радіна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4147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функціонування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національної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системи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кваліфікацій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О.Коваль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25.09.2020,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01.12.2021)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5158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добору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підготовки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прокурорів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В.Неклюдова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02.03.2021,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18.10.2021)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С.Іонушас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6244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бухгалтерський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облік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фінансову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звітність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Україні"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03.11.2021)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3006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40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автомобільний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транспорт"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заборони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акустичного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насильства)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В.В'ятровича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07.02.2020)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Ю.Кісєль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3607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Установу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бізнес-омбудсмена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(повторне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доопрацьований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07.05.2021)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3415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Регламенту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Верховної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особливої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процедури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розгляду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законопроектів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другому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П.Фролова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04.05.2020,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01.10.2021)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С.Кальченко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5748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протидії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порушенню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Ю.Гришиної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13.07.2021)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включення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денного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прийняття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рішення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6153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статусу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учасників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бойових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гарантій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медичним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працівникам,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які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безпосередньо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залучалися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незалежності,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суверенітету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територіальної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цілісності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О.Василевської-Смаглюк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2332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визначення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репрезентативності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організацій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профспілок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роботодавців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органах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діалогу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Г.Третьякової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31.10.2019,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вручено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розгляд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04.02.2020)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  <w:trHeight w:val="584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6516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імміграцію"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17.01.2022)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Д.Лубінець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EA7F49" w:rsidRPr="00CB4753" w:rsidRDefault="00BA1D42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2683</w:t>
            </w:r>
          </w:p>
          <w:p w:rsidR="00EA7F49" w:rsidRPr="00CB4753" w:rsidRDefault="00BA1D42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2683-2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2683-3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загальнообов'язкове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накопичувальне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пенсійне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(повторне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доопрацьований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25.11.2021,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Н.Королевської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12.05.2021,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В.Струневича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13.05.2021)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6140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Верховної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обрання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голів,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перших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заступників,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заступників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голів,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секретарів,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членів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Верховної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дев’ятого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скликання"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С.Кальченка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висновком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розгляд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С.Кальченко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включення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денного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прийняття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рішення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6519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політичні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партії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Україні"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оптимізації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строку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відновлення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політичними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партіями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фінансових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звітів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О.Устінової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17.01.2022)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25</w:t>
            </w:r>
            <w:r w:rsidR="00EA7F49"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лютого</w:t>
            </w:r>
            <w:r w:rsidR="00EA7F49"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(п'ятниця)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BA1D42" w:rsidRPr="00CB4753" w:rsidTr="00EA7F49">
        <w:trPr>
          <w:cantSplit/>
          <w:trHeight w:val="489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10.00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Година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запитань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Уряду.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Інформація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оборони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закордонних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Прем'єр-міністра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безпекової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ситуації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довкола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неї.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6146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вирішення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батьками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питань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тимчасового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виїзду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дітей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межі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М.Потураєв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6369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6369-1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sym w:font="Symbol" w:char="F0B7"/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запобігання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протидію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загрозам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національній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безпеці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громадянства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03.12.2021,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О.Дунди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14.12.2021)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Д.Лубінець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6368</w:t>
            </w:r>
          </w:p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6368-1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6368-2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sym w:font="Symbol" w:char="F0B7"/>
            </w:r>
          </w:p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громадянство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підстав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набуття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припинення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громадянства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(нова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редакція)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03.12.2021,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О.Дунди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13.12.2021,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М.Княжицького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Д.Лубінець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5888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правовий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статус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іноземців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осіб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громадянства"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зайнятість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населення"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залучення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провідних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фахівців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роботи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системі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охорони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здоров'я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О.Дмитрієвої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Д.Лубінець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5409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питань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тварин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жорстокого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поводження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розважальній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Ю.Овчинникової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29.04.2021)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5864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  <w:r w:rsidRPr="00CB4753">
              <w:rPr>
                <w:rFonts w:ascii="Times New Roman" w:hAnsi="Times New Roman"/>
                <w:b/>
                <w:szCs w:val="22"/>
                <w:lang w:val="uk-UA"/>
              </w:rPr>
              <w:sym w:font="Symbol" w:char="F0B7"/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73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встановлення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святкового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28.08.2021)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4221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саморегулювання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господарської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професійної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Г.Лічман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19.10.2020)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EA7F49" w:rsidRPr="00CB4753" w:rsidRDefault="00BA1D42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5727</w:t>
            </w:r>
          </w:p>
          <w:p w:rsidR="00EA7F49" w:rsidRPr="00CB4753" w:rsidRDefault="00BA1D42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5727-1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5727-2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EA7F49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48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вищу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освіту"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освітньої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вищої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освіти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іноземців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осіб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громадянства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Ю.Гришиної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06.07.2021,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І.Крулька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06.07.2021,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Н.Піпи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13.07.2021)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С.Бабак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3618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tabs>
                <w:tab w:val="left" w:pos="1785"/>
              </w:tabs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рієлтерську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діяльність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>Д.Наталухи</w:t>
            </w:r>
            <w:r w:rsidR="00EA7F49"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color w:val="000000"/>
                <w:szCs w:val="22"/>
                <w:lang w:val="uk-UA"/>
              </w:rPr>
              <w:t>11.06.2020)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3012-2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працівників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сільськогосподарських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підприємств,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установ,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організацій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одержання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земельної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частки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(паю)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М.Сольського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4135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Pr="00CB4753">
              <w:rPr>
                <w:rFonts w:ascii="Times New Roman" w:hAnsi="Times New Roman"/>
                <w:b/>
                <w:szCs w:val="22"/>
                <w:lang w:val="uk-UA"/>
              </w:rPr>
              <w:sym w:font="Symbol" w:char="F0B7"/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антикорупційної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політики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2020-2024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17.05.2021)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А.Радіна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4533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конституційну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процедуру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13.09.2021)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2713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>-д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інших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оподаткування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доходів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організації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проведення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азартних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ігор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лотерей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18.10.2021)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lastRenderedPageBreak/>
              <w:t>Д.Гетманцев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4298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місцеві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адміністрації"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інших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реформування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територіальної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виконавчої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влади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(нова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редакція)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2143-3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місто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Київ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-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столицю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5148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підвищення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якості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харчових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продуктів,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споживаються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дітьми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17.01.2022)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5266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посилення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працівників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5546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телебачення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радіомовлення"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тимчасове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включення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загальнонаціонального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багатоканального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(цифрового)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мовлення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використанням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радіочастотного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ресурсу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складу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універсальної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послуги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інформаційної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населення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районі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відсічі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збройної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агресії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Російської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Федерації)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О.Федієнка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24.05.2021)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М.Потураєв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5799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особливості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приватизації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єдиного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майнового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комплексу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Харківського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авіаційного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виробничого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підприємства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І.Копитіна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20.07.2021)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6361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встановлення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борщу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Я.Юрчишина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01.12.2021)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М.Потураєв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373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5237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пестициди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агрохімікати"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вимог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маркування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пестицидів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агрохімікатів"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Д.Соломчука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16.03.2021)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5818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упорядкування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окремих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питань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пенсійного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страхування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працівників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бюро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розслідувань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27.07.2021)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b/>
                <w:i/>
                <w:lang w:eastAsia="ru-RU"/>
              </w:rPr>
              <w:t>Різне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BA1D42" w:rsidRPr="00CB4753" w:rsidTr="00EA7F49">
        <w:trPr>
          <w:cantSplit/>
          <w:trHeight w:val="8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BA1D42" w:rsidRPr="00CB4753" w:rsidTr="00EA7F49">
        <w:trPr>
          <w:cantSplit/>
          <w:trHeight w:val="44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1779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Пленарний</w:t>
            </w:r>
            <w:r w:rsidR="00EA7F49"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тиждень</w:t>
            </w:r>
            <w:r w:rsidR="00EA7F49"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15–18</w:t>
            </w:r>
            <w:r w:rsidR="00EA7F49"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березня</w:t>
            </w:r>
            <w:r w:rsidR="00EA7F49"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2022</w:t>
            </w:r>
            <w:r w:rsidR="00EA7F49"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BA1D42" w:rsidRPr="00CB4753" w:rsidTr="00EA7F49">
        <w:trPr>
          <w:cantSplit/>
          <w:trHeight w:val="302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6508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питання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запровадження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карантину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М.Радуцький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6306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медичної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допомоги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М.Радуцький</w:t>
            </w:r>
          </w:p>
        </w:tc>
      </w:tr>
      <w:tr w:rsidR="00BA1D42" w:rsidRPr="00CB4753" w:rsidTr="00EA7F49">
        <w:trPr>
          <w:cantSplit/>
          <w:trHeight w:val="29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4142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систему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громадського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здоров’я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М.Радуцький</w:t>
            </w:r>
          </w:p>
        </w:tc>
      </w:tr>
      <w:tr w:rsidR="00BA1D42" w:rsidRPr="00CB4753" w:rsidTr="00EA7F49">
        <w:trPr>
          <w:cantSplit/>
          <w:trHeight w:val="29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2493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акціонерні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товариства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5431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Антимонопольного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3688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7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передачу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об'єктів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комунальної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власності"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передачі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цілісних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майнових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комплексів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пожежно-рятувальних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підрозділів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(частин)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іншого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майна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Оперативно-рятувальної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служби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цивільного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Д.Наталуха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5225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транспорт"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А.Деркача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15.03.2021,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висновок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відхилення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24.09.2021)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Ю.Кісєль</w:t>
            </w:r>
          </w:p>
        </w:tc>
      </w:tr>
      <w:tr w:rsidR="00BA1D42" w:rsidRPr="00CB4753" w:rsidTr="00EA7F49">
        <w:trPr>
          <w:cantSplit/>
          <w:trHeight w:val="291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5731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дорожній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рух"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руху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самобалансуючих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транспортних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засобів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обладнаних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електродвигунами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(електросамокат,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сігвей,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сегвіл,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гіроскутер)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А.Деркача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09.07.2021,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висновок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доопрацювання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03.12.2021)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Ю.Кісєль</w:t>
            </w:r>
          </w:p>
        </w:tc>
      </w:tr>
      <w:tr w:rsidR="00BA1D42" w:rsidRPr="00CB4753" w:rsidTr="00EA7F49">
        <w:trPr>
          <w:cantSplit/>
          <w:trHeight w:val="291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4519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визначення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місцезнаходження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юридичної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адреси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ДП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"Міжнародний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аеропорт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"Бориспіль"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Бориспіль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А.Скороход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22.12.2020,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висновок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відхилення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03.12.2021)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Ю.Кісєль</w:t>
            </w:r>
          </w:p>
        </w:tc>
      </w:tr>
      <w:tr w:rsidR="00BA1D42" w:rsidRPr="00CB4753" w:rsidTr="00EA7F49">
        <w:trPr>
          <w:cantSplit/>
          <w:trHeight w:val="8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03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6287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стимулювання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розвитку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книговидання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книгорозповсюдження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М.Потураєв</w:t>
            </w:r>
          </w:p>
        </w:tc>
      </w:tr>
      <w:tr w:rsidR="00BA1D42" w:rsidRPr="00CB4753" w:rsidTr="00EA7F49">
        <w:trPr>
          <w:cantSplit/>
          <w:trHeight w:val="33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4188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телебачення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радіомовлення"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протидії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інформаційній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війні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О.Дунди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07.10.2020)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М.Потураєв</w:t>
            </w:r>
          </w:p>
        </w:tc>
      </w:tr>
      <w:tr w:rsidR="00BA1D42" w:rsidRPr="00CB4753" w:rsidTr="00EA7F49">
        <w:trPr>
          <w:cantSplit/>
          <w:trHeight w:val="139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***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5455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звернення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розробки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затвердження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оздоровлення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відпочинку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дітей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Т.Скрипка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05.05.2021)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М.Потураєв</w:t>
            </w:r>
          </w:p>
        </w:tc>
      </w:tr>
      <w:tr w:rsidR="00BA1D42" w:rsidRPr="00CB4753" w:rsidTr="00EA7F49">
        <w:trPr>
          <w:cantSplit/>
          <w:trHeight w:val="8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5876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звільнення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оподаткування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додану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вартість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операцій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постачання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україномовних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аудіокниг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Я.Железняка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01.09.2021)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EA7F49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2805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>-д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аграрні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розписки"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інших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функціонування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обігу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аграрних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розписок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Д.Гетманцева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доопрацьований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30.12.2021)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5737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питання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пацієнтам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лікарських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засобів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співчуття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В.Зуба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09.07.2021)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8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301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3236-1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Декрету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мито"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збільшення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розміру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окремих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ставок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(готується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повторне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Д.Гетманцева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10.04.2020,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доопрацьований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Комітетом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16.03.2021)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16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5516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встановлення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строків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набрання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чинності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форм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декларацій,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податкових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акцизних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накладних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Н.Южаніної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21.05.2021)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Д.Гетманцев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6478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водовідведення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стічних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вод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населених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пунктів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30.12.2021)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BA1D42" w:rsidRPr="00CB4753" w:rsidTr="00EA7F49">
        <w:trPr>
          <w:cantSplit/>
          <w:trHeight w:val="863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6203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нагляду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(контролю)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техногенної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пожежної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25.10.2021)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6227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Загальнодержавної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розвитку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мінерально-сировинної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бази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період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2030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6349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процедури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проведення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екологічного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аудиту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5379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сприяння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розвитку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територій,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зазнали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радіоактивного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забруднення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внаслідок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Чорнобильської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катастрофи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О.Василевської-Смаглюк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16.04.2021)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О.Бондаренко</w:t>
            </w:r>
          </w:p>
        </w:tc>
      </w:tr>
      <w:tr w:rsidR="00BA1D42" w:rsidRPr="00CB4753" w:rsidTr="00EA7F49">
        <w:trPr>
          <w:cantSplit/>
          <w:trHeight w:val="251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251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4229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судоустрій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статус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суддів"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Вищу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правосуддя"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завершення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конкурсних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процедур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зайняття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посад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місцевих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15.06.2021)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3411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утворення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третейських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метою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відновлення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довіри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третейського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розгляду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13.12.2021)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4255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139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адміністративного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судочинства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09.12.2021)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8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4150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адміністративного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судочинства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особливостей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провадження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справах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зверненнями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нагляду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(контролю)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техногенної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пожежної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28.09.2020)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35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5410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151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адміністративного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судочинства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Президента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29.04.2021)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4612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статті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23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адвокатуру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адвокатську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діяльність"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гарантій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адвокатської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А.Гунька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22.01.2021)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  <w:tr w:rsidR="00BA1D42" w:rsidRPr="00CB4753" w:rsidTr="00EA7F49">
        <w:trPr>
          <w:cantSplit/>
          <w:trHeight w:val="8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26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6199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уточнення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положень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стосовно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вчинення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нотаріальних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реєстраційних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процесі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набуття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земельні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ділянки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26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6070-1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здійснення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функцій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технічного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агропромислового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комплексу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машинобудування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агропромислового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комплексу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87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36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7028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ветеринарну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медицину"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спрощення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умов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доступу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суб’єктів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тваринництва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племінних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(генетичних)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ресурсів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І.Чайківського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09.02.2022)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36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7036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Земельного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сприяння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розвитку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промисловості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аеропортової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інфраструктури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Г.Янченко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11.02.2022)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4396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ідентифікації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реєстрації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тварин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П.Юрчишина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20.11.2020)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М.Сольський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4210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питань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національної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оборони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зміцнення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демократичного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цивільного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контролю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Збройними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Силами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об’єднаного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керівництва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силами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оборони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планування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сферах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національної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безпеки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оборони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О.Завітневич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6521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основи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національного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спротиву"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можливості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територіальній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обороні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виконувати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завдання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районах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ведення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воєнних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(бойових)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Р.Костенка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О.Завітневич</w:t>
            </w:r>
          </w:p>
        </w:tc>
      </w:tr>
      <w:tr w:rsidR="00BA1D42" w:rsidRPr="00CB4753" w:rsidTr="00EA7F49">
        <w:trPr>
          <w:cantSplit/>
          <w:trHeight w:val="93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6486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Силам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спеціальних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операцій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Збройних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Сил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розвідувальних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контррозвідувальних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повноважень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для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підвищення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ефективності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ведення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руху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опору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Ф.Веніславського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31.12.2021)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О.Завітневич</w:t>
            </w:r>
          </w:p>
        </w:tc>
      </w:tr>
      <w:tr w:rsidR="00BA1D42" w:rsidRPr="00CB4753" w:rsidTr="00EA7F49">
        <w:trPr>
          <w:cantSplit/>
          <w:trHeight w:val="359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5337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мобілізаційну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підготовку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мобілізацію"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Є.Чернєва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09.04.2021)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О.Завітневич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5649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особливості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стимулювання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регіонального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розвитку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15.06.2021)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305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5241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порядку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дострокового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припинення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повноважень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сільського,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селищного,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міського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голови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15.02.2022)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37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ind w:right="95"/>
              <w:jc w:val="left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  <w:trHeight w:val="240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5469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організації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діяльності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центральних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виконавчої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влади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07.05.2021,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повторний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висновок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17.09.2021)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42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5802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всеукраїнський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референдум"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підписних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електронних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даних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А.Загоруйко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20.07.2021)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  <w:trHeight w:val="166"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4524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доступу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технічних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умов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їх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оприлюднення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Т.Плачкової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22.12.2020)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ind w:right="95"/>
              <w:jc w:val="left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4225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Національного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військового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меморіального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кладовища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таблицю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24.01.2022)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А.Клочко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ind w:right="95"/>
              <w:jc w:val="left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4614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збір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обов’язкове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пенсійне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страхування"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збору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обов’язкове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державне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пенсійне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страхування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ювелірних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виробів)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М.Стефанчука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25.01.2021)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6067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6067-1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реформування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служби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зайнятості,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страхування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випадок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безробіття,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сприяння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продуктивній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зайнятості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населення,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тому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числі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молоді,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впровадження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активних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програм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ринку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21.09.2021,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Н.Королевської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07.10.2021)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6350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спрямованих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забезпечення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додаткових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гарантій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ветеранів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війни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29.11.2021)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6392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6392-1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правового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регулювання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категорій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lastRenderedPageBreak/>
              <w:t>працівників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08.12.2021,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Абрамовича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28.12.2021)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lastRenderedPageBreak/>
              <w:t>Г.Третьякова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4285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4285-1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соціального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захисту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осіб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похилого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04.11.2020,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Н.Королевської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20.11.2020)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5555</w:t>
            </w:r>
          </w:p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5555-1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Кодексу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працю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процедури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вирішення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індивідуальних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трудових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спорів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Кабінету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Міністрів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26.05.2021,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Королевської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–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15.06.2021)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5388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У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законодавчих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актів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дерегуляції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трудових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відносин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Г.Третьякова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перше</w:t>
            </w:r>
            <w:r w:rsidR="00EA7F49"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bCs/>
                <w:i/>
                <w:iCs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5531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"Про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транспорт"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окремих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питань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розвитку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транспорту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відносин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підприємств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транспорту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органами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виконавчої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влади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і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місцевого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самоврядування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н.д.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А.Деркача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24.05.2021,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надано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висновок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Комітету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доопрацювання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19.11.2021)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Ю.Кісєль</w:t>
            </w: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друге</w:t>
            </w:r>
            <w:r w:rsidR="00EA7F49"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b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</w:p>
        </w:tc>
      </w:tr>
      <w:tr w:rsidR="00BA1D42" w:rsidRPr="00CB4753" w:rsidTr="00EA7F49">
        <w:trPr>
          <w:cantSplit/>
        </w:trPr>
        <w:tc>
          <w:tcPr>
            <w:tcW w:w="993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3774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Д</w:t>
            </w:r>
          </w:p>
        </w:tc>
        <w:tc>
          <w:tcPr>
            <w:tcW w:w="6946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szCs w:val="22"/>
                <w:lang w:val="uk-UA"/>
              </w:rPr>
              <w:t>Проект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внесення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змін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деяких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законів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України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щодо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удосконалення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механізму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протидії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рейдерству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(друге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CB4753">
              <w:rPr>
                <w:rFonts w:ascii="Times New Roman" w:hAnsi="Times New Roman"/>
                <w:szCs w:val="22"/>
                <w:lang w:val="uk-UA"/>
              </w:rPr>
              <w:t>читання)</w:t>
            </w:r>
            <w:r w:rsidR="00EA7F49" w:rsidRPr="00CB4753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D42" w:rsidRPr="00CB4753" w:rsidRDefault="00BA1D42" w:rsidP="00BA1D42">
            <w:pPr>
              <w:pStyle w:val="Table"/>
              <w:rPr>
                <w:rFonts w:ascii="Times New Roman" w:hAnsi="Times New Roman"/>
                <w:i/>
                <w:iCs/>
                <w:szCs w:val="22"/>
                <w:lang w:val="uk-UA"/>
              </w:rPr>
            </w:pPr>
            <w:r w:rsidRPr="00CB4753">
              <w:rPr>
                <w:rFonts w:ascii="Times New Roman" w:hAnsi="Times New Roman"/>
                <w:i/>
                <w:iCs/>
                <w:szCs w:val="22"/>
                <w:lang w:val="uk-UA"/>
              </w:rPr>
              <w:t>А.Костін</w:t>
            </w:r>
          </w:p>
        </w:tc>
      </w:tr>
    </w:tbl>
    <w:p w:rsidR="006C5C50" w:rsidRPr="00CB4753" w:rsidRDefault="006C5C50" w:rsidP="006C5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3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227"/>
        <w:gridCol w:w="160"/>
        <w:gridCol w:w="606"/>
        <w:gridCol w:w="160"/>
        <w:gridCol w:w="7710"/>
      </w:tblGrid>
      <w:tr w:rsidR="006C5C50" w:rsidRPr="00CB4753" w:rsidTr="00C869D5">
        <w:tc>
          <w:tcPr>
            <w:tcW w:w="2763" w:type="dxa"/>
            <w:gridSpan w:val="4"/>
            <w:hideMark/>
          </w:tcPr>
          <w:p w:rsidR="00EA7F49" w:rsidRPr="00CB4753" w:rsidRDefault="006C5C50" w:rsidP="00EA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Умовні</w:t>
            </w:r>
          </w:p>
          <w:p w:rsidR="006C5C50" w:rsidRPr="00CB4753" w:rsidRDefault="006C5C50" w:rsidP="00EA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позначення:</w:t>
            </w:r>
          </w:p>
        </w:tc>
        <w:tc>
          <w:tcPr>
            <w:tcW w:w="160" w:type="dxa"/>
          </w:tcPr>
          <w:p w:rsidR="006C5C50" w:rsidRPr="00CB4753" w:rsidRDefault="006C5C50" w:rsidP="006C5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</w:tcPr>
          <w:p w:rsidR="006C5C50" w:rsidRPr="00CB4753" w:rsidRDefault="006C5C50" w:rsidP="006C5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C50" w:rsidRPr="00CB4753" w:rsidTr="00C869D5">
        <w:tc>
          <w:tcPr>
            <w:tcW w:w="1770" w:type="dxa"/>
            <w:hideMark/>
          </w:tcPr>
          <w:p w:rsidR="006C5C50" w:rsidRPr="00CB4753" w:rsidRDefault="006C5C50" w:rsidP="006C5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7" w:type="dxa"/>
            <w:hideMark/>
          </w:tcPr>
          <w:p w:rsidR="006C5C50" w:rsidRPr="00CB4753" w:rsidRDefault="006C5C50" w:rsidP="006C5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" w:type="dxa"/>
          </w:tcPr>
          <w:p w:rsidR="006C5C50" w:rsidRPr="00CB4753" w:rsidRDefault="006C5C50" w:rsidP="006C5C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6" w:type="dxa"/>
            <w:gridSpan w:val="3"/>
            <w:hideMark/>
          </w:tcPr>
          <w:p w:rsidR="006C5C50" w:rsidRPr="00CB4753" w:rsidRDefault="006C5C50" w:rsidP="006C5C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законопроекти,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внесені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Президентом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</w:p>
        </w:tc>
      </w:tr>
      <w:tr w:rsidR="006C5C50" w:rsidRPr="00CB4753" w:rsidTr="00C869D5">
        <w:tc>
          <w:tcPr>
            <w:tcW w:w="1770" w:type="dxa"/>
            <w:hideMark/>
          </w:tcPr>
          <w:p w:rsidR="006C5C50" w:rsidRPr="00CB4753" w:rsidRDefault="006C5C50" w:rsidP="006C5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7" w:type="dxa"/>
            <w:hideMark/>
          </w:tcPr>
          <w:p w:rsidR="006C5C50" w:rsidRPr="00CB4753" w:rsidRDefault="006C5C50" w:rsidP="006C5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" w:type="dxa"/>
          </w:tcPr>
          <w:p w:rsidR="006C5C50" w:rsidRPr="00CB4753" w:rsidRDefault="006C5C50" w:rsidP="006C5C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6" w:type="dxa"/>
            <w:gridSpan w:val="3"/>
            <w:hideMark/>
          </w:tcPr>
          <w:p w:rsidR="006C5C50" w:rsidRPr="00CB4753" w:rsidRDefault="006C5C50" w:rsidP="006C5C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законопроекти,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внесені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Кабінетом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Міністрів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</w:p>
        </w:tc>
      </w:tr>
      <w:tr w:rsidR="006C5C50" w:rsidRPr="00CB4753" w:rsidTr="00C869D5">
        <w:tc>
          <w:tcPr>
            <w:tcW w:w="1770" w:type="dxa"/>
            <w:hideMark/>
          </w:tcPr>
          <w:p w:rsidR="006C5C50" w:rsidRPr="00CB4753" w:rsidRDefault="006C5C50" w:rsidP="006C5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7" w:type="dxa"/>
            <w:hideMark/>
          </w:tcPr>
          <w:p w:rsidR="006C5C50" w:rsidRPr="00CB4753" w:rsidRDefault="006C5C50" w:rsidP="006C5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" w:type="dxa"/>
          </w:tcPr>
          <w:p w:rsidR="006C5C50" w:rsidRPr="00CB4753" w:rsidRDefault="006C5C50" w:rsidP="006C5C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6" w:type="dxa"/>
            <w:gridSpan w:val="3"/>
            <w:hideMark/>
          </w:tcPr>
          <w:p w:rsidR="006C5C50" w:rsidRPr="00CB4753" w:rsidRDefault="006C5C50" w:rsidP="006C5C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законопроекти,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внесені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народними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депутатами</w:t>
            </w:r>
            <w:r w:rsidR="00EA7F49"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України</w:t>
            </w:r>
          </w:p>
        </w:tc>
      </w:tr>
      <w:tr w:rsidR="006C5C50" w:rsidRPr="00CB4753" w:rsidTr="00C869D5">
        <w:tc>
          <w:tcPr>
            <w:tcW w:w="1770" w:type="dxa"/>
            <w:hideMark/>
          </w:tcPr>
          <w:p w:rsidR="006C5C50" w:rsidRPr="00CB4753" w:rsidRDefault="006C5C50" w:rsidP="006C5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227" w:type="dxa"/>
            <w:hideMark/>
          </w:tcPr>
          <w:p w:rsidR="006C5C50" w:rsidRPr="00CB4753" w:rsidRDefault="006C5C50" w:rsidP="006C5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" w:type="dxa"/>
          </w:tcPr>
          <w:p w:rsidR="006C5C50" w:rsidRPr="00CB4753" w:rsidRDefault="006C5C50" w:rsidP="006C5C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76" w:type="dxa"/>
            <w:gridSpan w:val="3"/>
            <w:hideMark/>
          </w:tcPr>
          <w:p w:rsidR="006C5C50" w:rsidRPr="00CB4753" w:rsidRDefault="006C5C50" w:rsidP="006C5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законопроекти,</w:t>
            </w:r>
            <w:r w:rsidR="00EA7F49"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визначені</w:t>
            </w:r>
            <w:r w:rsidR="00EA7F49"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Президентом</w:t>
            </w:r>
            <w:r w:rsidR="00EA7F49"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r w:rsidR="00EA7F49"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4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невідкладними</w:t>
            </w:r>
          </w:p>
        </w:tc>
      </w:tr>
    </w:tbl>
    <w:p w:rsidR="00C869D5" w:rsidRDefault="00C869D5" w:rsidP="006C5C50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7F49" w:rsidRPr="00CB4753" w:rsidRDefault="006C5C50" w:rsidP="00C869D5">
      <w:pPr>
        <w:spacing w:after="0" w:line="240" w:lineRule="auto"/>
        <w:ind w:right="141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4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Апарат</w:t>
      </w:r>
      <w:r w:rsidR="00EA7F49" w:rsidRPr="00CB4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Верховної</w:t>
      </w:r>
      <w:r w:rsidR="00EA7F49" w:rsidRPr="00CB4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Ради</w:t>
      </w:r>
      <w:r w:rsidR="00EA7F49" w:rsidRPr="00CB4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України</w:t>
      </w:r>
    </w:p>
    <w:p w:rsidR="006C5C50" w:rsidRPr="00CB4753" w:rsidRDefault="006C5C50" w:rsidP="006C5C50">
      <w:pPr>
        <w:rPr>
          <w:rFonts w:ascii="Times New Roman" w:hAnsi="Times New Roman"/>
          <w:sz w:val="24"/>
          <w:szCs w:val="24"/>
        </w:rPr>
      </w:pPr>
    </w:p>
    <w:sectPr w:rsidR="006C5C50" w:rsidRPr="00CB4753" w:rsidSect="00457BA3">
      <w:headerReference w:type="default" r:id="rId7"/>
      <w:pgSz w:w="11906" w:h="16838"/>
      <w:pgMar w:top="709" w:right="282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07" w:rsidRDefault="004B6307">
      <w:pPr>
        <w:spacing w:after="0" w:line="240" w:lineRule="auto"/>
      </w:pPr>
      <w:r>
        <w:separator/>
      </w:r>
    </w:p>
  </w:endnote>
  <w:endnote w:type="continuationSeparator" w:id="0">
    <w:p w:rsidR="004B6307" w:rsidRDefault="004B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FuturisExtr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07" w:rsidRDefault="004B6307">
      <w:pPr>
        <w:spacing w:after="0" w:line="240" w:lineRule="auto"/>
      </w:pPr>
      <w:r>
        <w:separator/>
      </w:r>
    </w:p>
  </w:footnote>
  <w:footnote w:type="continuationSeparator" w:id="0">
    <w:p w:rsidR="004B6307" w:rsidRDefault="004B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AC" w:rsidRDefault="00C771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734B3" w:rsidRPr="00B734B3">
      <w:rPr>
        <w:noProof/>
        <w:lang w:val="uk-UA"/>
      </w:rPr>
      <w:t>2</w:t>
    </w:r>
    <w:r>
      <w:fldChar w:fldCharType="end"/>
    </w:r>
  </w:p>
  <w:p w:rsidR="00C771AC" w:rsidRDefault="00C771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4"/>
    <w:rsid w:val="00001205"/>
    <w:rsid w:val="00004E8B"/>
    <w:rsid w:val="00011BAD"/>
    <w:rsid w:val="000147CE"/>
    <w:rsid w:val="00022E53"/>
    <w:rsid w:val="000263E3"/>
    <w:rsid w:val="00031BB9"/>
    <w:rsid w:val="000368A4"/>
    <w:rsid w:val="00054EA7"/>
    <w:rsid w:val="00055E55"/>
    <w:rsid w:val="00060F65"/>
    <w:rsid w:val="0006373B"/>
    <w:rsid w:val="000708E1"/>
    <w:rsid w:val="00070C6A"/>
    <w:rsid w:val="00070F78"/>
    <w:rsid w:val="00072219"/>
    <w:rsid w:val="00072B7C"/>
    <w:rsid w:val="00073DDC"/>
    <w:rsid w:val="0007424B"/>
    <w:rsid w:val="000767A9"/>
    <w:rsid w:val="00081BCD"/>
    <w:rsid w:val="000820F7"/>
    <w:rsid w:val="00084ADB"/>
    <w:rsid w:val="0009519F"/>
    <w:rsid w:val="0009568B"/>
    <w:rsid w:val="00095D48"/>
    <w:rsid w:val="000A0603"/>
    <w:rsid w:val="000A3B7E"/>
    <w:rsid w:val="000A4B6F"/>
    <w:rsid w:val="000A6E59"/>
    <w:rsid w:val="000B0906"/>
    <w:rsid w:val="000B2DDA"/>
    <w:rsid w:val="000C17B3"/>
    <w:rsid w:val="000C30F2"/>
    <w:rsid w:val="000C4A1D"/>
    <w:rsid w:val="000C5C1F"/>
    <w:rsid w:val="000C5C8C"/>
    <w:rsid w:val="000C608F"/>
    <w:rsid w:val="000D75BC"/>
    <w:rsid w:val="000E002D"/>
    <w:rsid w:val="000E45B3"/>
    <w:rsid w:val="000E4D10"/>
    <w:rsid w:val="000E7260"/>
    <w:rsid w:val="000E7344"/>
    <w:rsid w:val="000F56F8"/>
    <w:rsid w:val="000F70CE"/>
    <w:rsid w:val="000F7763"/>
    <w:rsid w:val="0010155A"/>
    <w:rsid w:val="0011217C"/>
    <w:rsid w:val="001218C3"/>
    <w:rsid w:val="00122E62"/>
    <w:rsid w:val="00122F6F"/>
    <w:rsid w:val="00126FAC"/>
    <w:rsid w:val="001312A2"/>
    <w:rsid w:val="0013241D"/>
    <w:rsid w:val="0015273C"/>
    <w:rsid w:val="00155611"/>
    <w:rsid w:val="00161FFC"/>
    <w:rsid w:val="00162807"/>
    <w:rsid w:val="001633F8"/>
    <w:rsid w:val="0016403F"/>
    <w:rsid w:val="001665D4"/>
    <w:rsid w:val="0017334D"/>
    <w:rsid w:val="0017406E"/>
    <w:rsid w:val="00174352"/>
    <w:rsid w:val="00175996"/>
    <w:rsid w:val="001779E8"/>
    <w:rsid w:val="001824F2"/>
    <w:rsid w:val="001871B6"/>
    <w:rsid w:val="00190C04"/>
    <w:rsid w:val="001A45A2"/>
    <w:rsid w:val="001A5D8F"/>
    <w:rsid w:val="001B4293"/>
    <w:rsid w:val="001B6B7B"/>
    <w:rsid w:val="001C34DC"/>
    <w:rsid w:val="001C38AD"/>
    <w:rsid w:val="001C4573"/>
    <w:rsid w:val="001C49AB"/>
    <w:rsid w:val="001C4AAF"/>
    <w:rsid w:val="001C60B3"/>
    <w:rsid w:val="001D40C6"/>
    <w:rsid w:val="001D478D"/>
    <w:rsid w:val="001D66FF"/>
    <w:rsid w:val="001D7767"/>
    <w:rsid w:val="001D7A7A"/>
    <w:rsid w:val="001E0404"/>
    <w:rsid w:val="001E21EB"/>
    <w:rsid w:val="001E49DD"/>
    <w:rsid w:val="001E6F4E"/>
    <w:rsid w:val="001F4D76"/>
    <w:rsid w:val="0020335A"/>
    <w:rsid w:val="0020559E"/>
    <w:rsid w:val="00206678"/>
    <w:rsid w:val="00212A7D"/>
    <w:rsid w:val="00212EDF"/>
    <w:rsid w:val="002242B2"/>
    <w:rsid w:val="00232E9D"/>
    <w:rsid w:val="0023465A"/>
    <w:rsid w:val="00234FCA"/>
    <w:rsid w:val="002369B5"/>
    <w:rsid w:val="00236D21"/>
    <w:rsid w:val="0024046B"/>
    <w:rsid w:val="002433EE"/>
    <w:rsid w:val="00250A48"/>
    <w:rsid w:val="0025196E"/>
    <w:rsid w:val="0025200D"/>
    <w:rsid w:val="00252C0E"/>
    <w:rsid w:val="00253155"/>
    <w:rsid w:val="00256101"/>
    <w:rsid w:val="00266428"/>
    <w:rsid w:val="002733AF"/>
    <w:rsid w:val="00274C75"/>
    <w:rsid w:val="00281317"/>
    <w:rsid w:val="0028166E"/>
    <w:rsid w:val="00290096"/>
    <w:rsid w:val="002946A6"/>
    <w:rsid w:val="00294708"/>
    <w:rsid w:val="00297BC9"/>
    <w:rsid w:val="002A15A1"/>
    <w:rsid w:val="002A311A"/>
    <w:rsid w:val="002A7A9B"/>
    <w:rsid w:val="002C3617"/>
    <w:rsid w:val="002D1668"/>
    <w:rsid w:val="002D2519"/>
    <w:rsid w:val="002D3B9A"/>
    <w:rsid w:val="002D4109"/>
    <w:rsid w:val="002D5849"/>
    <w:rsid w:val="002D6842"/>
    <w:rsid w:val="002E0310"/>
    <w:rsid w:val="0030159A"/>
    <w:rsid w:val="00303438"/>
    <w:rsid w:val="0030529B"/>
    <w:rsid w:val="003059DE"/>
    <w:rsid w:val="00307807"/>
    <w:rsid w:val="00316A0A"/>
    <w:rsid w:val="00316FE4"/>
    <w:rsid w:val="00324BBD"/>
    <w:rsid w:val="003309BB"/>
    <w:rsid w:val="00331BBB"/>
    <w:rsid w:val="00332A68"/>
    <w:rsid w:val="00340F98"/>
    <w:rsid w:val="00342CCD"/>
    <w:rsid w:val="003456A5"/>
    <w:rsid w:val="0034645A"/>
    <w:rsid w:val="003503AE"/>
    <w:rsid w:val="0035086C"/>
    <w:rsid w:val="00360271"/>
    <w:rsid w:val="0036244D"/>
    <w:rsid w:val="00364EA1"/>
    <w:rsid w:val="00370AB7"/>
    <w:rsid w:val="00370B75"/>
    <w:rsid w:val="00371A96"/>
    <w:rsid w:val="00372E5B"/>
    <w:rsid w:val="003738DC"/>
    <w:rsid w:val="00375690"/>
    <w:rsid w:val="00376038"/>
    <w:rsid w:val="00381B47"/>
    <w:rsid w:val="00382092"/>
    <w:rsid w:val="003904FF"/>
    <w:rsid w:val="0039769F"/>
    <w:rsid w:val="00397869"/>
    <w:rsid w:val="003A015F"/>
    <w:rsid w:val="003A5FD8"/>
    <w:rsid w:val="003A7E0C"/>
    <w:rsid w:val="003B235C"/>
    <w:rsid w:val="003B26F3"/>
    <w:rsid w:val="003C18FC"/>
    <w:rsid w:val="003C5625"/>
    <w:rsid w:val="003C6B32"/>
    <w:rsid w:val="003D24F6"/>
    <w:rsid w:val="003D647C"/>
    <w:rsid w:val="003E2F8C"/>
    <w:rsid w:val="003E6F37"/>
    <w:rsid w:val="003F3970"/>
    <w:rsid w:val="003F3C30"/>
    <w:rsid w:val="003F7C04"/>
    <w:rsid w:val="00403FAD"/>
    <w:rsid w:val="00404943"/>
    <w:rsid w:val="00407754"/>
    <w:rsid w:val="00410F75"/>
    <w:rsid w:val="004121D3"/>
    <w:rsid w:val="004147A8"/>
    <w:rsid w:val="00414D36"/>
    <w:rsid w:val="0041772E"/>
    <w:rsid w:val="0042370D"/>
    <w:rsid w:val="004247FA"/>
    <w:rsid w:val="00432167"/>
    <w:rsid w:val="0043382F"/>
    <w:rsid w:val="0043409F"/>
    <w:rsid w:val="0043421F"/>
    <w:rsid w:val="004364CA"/>
    <w:rsid w:val="004368BC"/>
    <w:rsid w:val="0043705B"/>
    <w:rsid w:val="00444B67"/>
    <w:rsid w:val="0044557B"/>
    <w:rsid w:val="004460DC"/>
    <w:rsid w:val="00450B2B"/>
    <w:rsid w:val="00453DDD"/>
    <w:rsid w:val="00457A3D"/>
    <w:rsid w:val="00457BA3"/>
    <w:rsid w:val="00457E43"/>
    <w:rsid w:val="004616F0"/>
    <w:rsid w:val="00464D5B"/>
    <w:rsid w:val="00466F11"/>
    <w:rsid w:val="00470881"/>
    <w:rsid w:val="004766AC"/>
    <w:rsid w:val="00477694"/>
    <w:rsid w:val="00485FF7"/>
    <w:rsid w:val="00486678"/>
    <w:rsid w:val="00490CD1"/>
    <w:rsid w:val="00492AA9"/>
    <w:rsid w:val="00496D11"/>
    <w:rsid w:val="004970B4"/>
    <w:rsid w:val="004A084C"/>
    <w:rsid w:val="004B0313"/>
    <w:rsid w:val="004B11A7"/>
    <w:rsid w:val="004B3242"/>
    <w:rsid w:val="004B39AD"/>
    <w:rsid w:val="004B6307"/>
    <w:rsid w:val="004B66DC"/>
    <w:rsid w:val="004C31E3"/>
    <w:rsid w:val="004D619C"/>
    <w:rsid w:val="004E29B1"/>
    <w:rsid w:val="004E2F20"/>
    <w:rsid w:val="004E546C"/>
    <w:rsid w:val="004F42E3"/>
    <w:rsid w:val="004F5485"/>
    <w:rsid w:val="004F7445"/>
    <w:rsid w:val="00505BB7"/>
    <w:rsid w:val="00511AA0"/>
    <w:rsid w:val="00512F2F"/>
    <w:rsid w:val="005133EA"/>
    <w:rsid w:val="0051725D"/>
    <w:rsid w:val="00521D6E"/>
    <w:rsid w:val="0052265C"/>
    <w:rsid w:val="005239D5"/>
    <w:rsid w:val="005261E6"/>
    <w:rsid w:val="00526808"/>
    <w:rsid w:val="00531829"/>
    <w:rsid w:val="0053184E"/>
    <w:rsid w:val="00532818"/>
    <w:rsid w:val="00537AD4"/>
    <w:rsid w:val="00544489"/>
    <w:rsid w:val="00555014"/>
    <w:rsid w:val="005559EA"/>
    <w:rsid w:val="005561BF"/>
    <w:rsid w:val="005566FC"/>
    <w:rsid w:val="00557689"/>
    <w:rsid w:val="00557ED1"/>
    <w:rsid w:val="00564489"/>
    <w:rsid w:val="00567B07"/>
    <w:rsid w:val="0057351B"/>
    <w:rsid w:val="00573AC6"/>
    <w:rsid w:val="0057418F"/>
    <w:rsid w:val="00583587"/>
    <w:rsid w:val="00583E9B"/>
    <w:rsid w:val="00587B78"/>
    <w:rsid w:val="0059051D"/>
    <w:rsid w:val="0059171D"/>
    <w:rsid w:val="0059231F"/>
    <w:rsid w:val="0059726C"/>
    <w:rsid w:val="0059729C"/>
    <w:rsid w:val="00597E69"/>
    <w:rsid w:val="005A12DF"/>
    <w:rsid w:val="005B027D"/>
    <w:rsid w:val="005B4045"/>
    <w:rsid w:val="005C1E65"/>
    <w:rsid w:val="005C3D4C"/>
    <w:rsid w:val="005C4958"/>
    <w:rsid w:val="005C545A"/>
    <w:rsid w:val="005C5C79"/>
    <w:rsid w:val="005C6B11"/>
    <w:rsid w:val="005D65EC"/>
    <w:rsid w:val="005D6BD1"/>
    <w:rsid w:val="005E024D"/>
    <w:rsid w:val="005E19FC"/>
    <w:rsid w:val="005E2F13"/>
    <w:rsid w:val="005E3D9A"/>
    <w:rsid w:val="005E5613"/>
    <w:rsid w:val="005E59B5"/>
    <w:rsid w:val="005E6F26"/>
    <w:rsid w:val="005F189E"/>
    <w:rsid w:val="005F4654"/>
    <w:rsid w:val="005F4AD6"/>
    <w:rsid w:val="005F4C03"/>
    <w:rsid w:val="005F4E67"/>
    <w:rsid w:val="005F7DD2"/>
    <w:rsid w:val="006015D3"/>
    <w:rsid w:val="00604815"/>
    <w:rsid w:val="00607126"/>
    <w:rsid w:val="0061012B"/>
    <w:rsid w:val="006131AE"/>
    <w:rsid w:val="00613FD4"/>
    <w:rsid w:val="0062223B"/>
    <w:rsid w:val="00624B02"/>
    <w:rsid w:val="0063224F"/>
    <w:rsid w:val="00634971"/>
    <w:rsid w:val="00635FDF"/>
    <w:rsid w:val="00637037"/>
    <w:rsid w:val="0063749E"/>
    <w:rsid w:val="00640248"/>
    <w:rsid w:val="00640540"/>
    <w:rsid w:val="00644CE7"/>
    <w:rsid w:val="006475C5"/>
    <w:rsid w:val="0065352D"/>
    <w:rsid w:val="00662F38"/>
    <w:rsid w:val="00663A47"/>
    <w:rsid w:val="00665139"/>
    <w:rsid w:val="00670849"/>
    <w:rsid w:val="006734C7"/>
    <w:rsid w:val="00681F1D"/>
    <w:rsid w:val="0068261F"/>
    <w:rsid w:val="00683F94"/>
    <w:rsid w:val="0068537F"/>
    <w:rsid w:val="00687D3A"/>
    <w:rsid w:val="00694135"/>
    <w:rsid w:val="006971FA"/>
    <w:rsid w:val="006A3B14"/>
    <w:rsid w:val="006A65E1"/>
    <w:rsid w:val="006A7D83"/>
    <w:rsid w:val="006B238F"/>
    <w:rsid w:val="006B2913"/>
    <w:rsid w:val="006B3581"/>
    <w:rsid w:val="006C0F80"/>
    <w:rsid w:val="006C12DE"/>
    <w:rsid w:val="006C379D"/>
    <w:rsid w:val="006C384F"/>
    <w:rsid w:val="006C3967"/>
    <w:rsid w:val="006C5701"/>
    <w:rsid w:val="006C5C50"/>
    <w:rsid w:val="006D075C"/>
    <w:rsid w:val="006F11CE"/>
    <w:rsid w:val="006F55AB"/>
    <w:rsid w:val="006F6BFE"/>
    <w:rsid w:val="00701556"/>
    <w:rsid w:val="00704F60"/>
    <w:rsid w:val="007114B2"/>
    <w:rsid w:val="00715BA5"/>
    <w:rsid w:val="0072457E"/>
    <w:rsid w:val="00725FB5"/>
    <w:rsid w:val="00736331"/>
    <w:rsid w:val="00751E0A"/>
    <w:rsid w:val="00761E30"/>
    <w:rsid w:val="007724E9"/>
    <w:rsid w:val="0077620B"/>
    <w:rsid w:val="00776B1C"/>
    <w:rsid w:val="00784965"/>
    <w:rsid w:val="0078518F"/>
    <w:rsid w:val="00785487"/>
    <w:rsid w:val="0078699E"/>
    <w:rsid w:val="007873C8"/>
    <w:rsid w:val="007958A3"/>
    <w:rsid w:val="007A4249"/>
    <w:rsid w:val="007A4402"/>
    <w:rsid w:val="007B085C"/>
    <w:rsid w:val="007B0C58"/>
    <w:rsid w:val="007B7967"/>
    <w:rsid w:val="007C3F3C"/>
    <w:rsid w:val="007C7FD4"/>
    <w:rsid w:val="007D4A50"/>
    <w:rsid w:val="007D5A11"/>
    <w:rsid w:val="007D5A7E"/>
    <w:rsid w:val="007E62E4"/>
    <w:rsid w:val="007E7C39"/>
    <w:rsid w:val="007F0DBF"/>
    <w:rsid w:val="007F1874"/>
    <w:rsid w:val="00800891"/>
    <w:rsid w:val="00804376"/>
    <w:rsid w:val="0080687A"/>
    <w:rsid w:val="00807BCE"/>
    <w:rsid w:val="00807E83"/>
    <w:rsid w:val="00810A88"/>
    <w:rsid w:val="008156A6"/>
    <w:rsid w:val="0081645A"/>
    <w:rsid w:val="008219A8"/>
    <w:rsid w:val="00823B28"/>
    <w:rsid w:val="008249FD"/>
    <w:rsid w:val="008259E2"/>
    <w:rsid w:val="00826341"/>
    <w:rsid w:val="00827F36"/>
    <w:rsid w:val="00831F0A"/>
    <w:rsid w:val="00832395"/>
    <w:rsid w:val="0083314C"/>
    <w:rsid w:val="0083331A"/>
    <w:rsid w:val="008407A1"/>
    <w:rsid w:val="00846BDA"/>
    <w:rsid w:val="00846D89"/>
    <w:rsid w:val="0084782F"/>
    <w:rsid w:val="00847E45"/>
    <w:rsid w:val="00860D5C"/>
    <w:rsid w:val="00873495"/>
    <w:rsid w:val="008745AF"/>
    <w:rsid w:val="00876F58"/>
    <w:rsid w:val="0088293E"/>
    <w:rsid w:val="00883C86"/>
    <w:rsid w:val="00891F8C"/>
    <w:rsid w:val="008924E8"/>
    <w:rsid w:val="00892ED7"/>
    <w:rsid w:val="00896412"/>
    <w:rsid w:val="0089667D"/>
    <w:rsid w:val="008968DA"/>
    <w:rsid w:val="00896DAC"/>
    <w:rsid w:val="008A6BC5"/>
    <w:rsid w:val="008B334A"/>
    <w:rsid w:val="008B39FF"/>
    <w:rsid w:val="008B6186"/>
    <w:rsid w:val="008B7411"/>
    <w:rsid w:val="008C012E"/>
    <w:rsid w:val="008C0773"/>
    <w:rsid w:val="008C2442"/>
    <w:rsid w:val="008C4F7E"/>
    <w:rsid w:val="008C529A"/>
    <w:rsid w:val="008C6AE3"/>
    <w:rsid w:val="008C7605"/>
    <w:rsid w:val="008D4B16"/>
    <w:rsid w:val="008D4C24"/>
    <w:rsid w:val="008D6E31"/>
    <w:rsid w:val="008E3B83"/>
    <w:rsid w:val="008E64FE"/>
    <w:rsid w:val="008E7FA3"/>
    <w:rsid w:val="008F1BCB"/>
    <w:rsid w:val="008F338A"/>
    <w:rsid w:val="008F3830"/>
    <w:rsid w:val="009029DC"/>
    <w:rsid w:val="009055F5"/>
    <w:rsid w:val="00907A9C"/>
    <w:rsid w:val="00911396"/>
    <w:rsid w:val="00912632"/>
    <w:rsid w:val="00915F16"/>
    <w:rsid w:val="00916B8F"/>
    <w:rsid w:val="00923014"/>
    <w:rsid w:val="00930281"/>
    <w:rsid w:val="00930B7B"/>
    <w:rsid w:val="00935FFF"/>
    <w:rsid w:val="009403FB"/>
    <w:rsid w:val="00941519"/>
    <w:rsid w:val="00950A86"/>
    <w:rsid w:val="00950B57"/>
    <w:rsid w:val="00951BF5"/>
    <w:rsid w:val="009524FB"/>
    <w:rsid w:val="0095310C"/>
    <w:rsid w:val="00957AB2"/>
    <w:rsid w:val="00971BC8"/>
    <w:rsid w:val="00973024"/>
    <w:rsid w:val="009766AD"/>
    <w:rsid w:val="00977029"/>
    <w:rsid w:val="0097767D"/>
    <w:rsid w:val="0098080E"/>
    <w:rsid w:val="00984404"/>
    <w:rsid w:val="009910EF"/>
    <w:rsid w:val="00993B2A"/>
    <w:rsid w:val="00995905"/>
    <w:rsid w:val="00995BD4"/>
    <w:rsid w:val="00996FB8"/>
    <w:rsid w:val="009A6713"/>
    <w:rsid w:val="009A79E3"/>
    <w:rsid w:val="009A7C3F"/>
    <w:rsid w:val="009B0A67"/>
    <w:rsid w:val="009B1AFD"/>
    <w:rsid w:val="009B4565"/>
    <w:rsid w:val="009B632D"/>
    <w:rsid w:val="009B67FA"/>
    <w:rsid w:val="009C07DD"/>
    <w:rsid w:val="009C2EEA"/>
    <w:rsid w:val="009C3F91"/>
    <w:rsid w:val="009C7F65"/>
    <w:rsid w:val="009D0255"/>
    <w:rsid w:val="009D1357"/>
    <w:rsid w:val="009D3594"/>
    <w:rsid w:val="009D3A0E"/>
    <w:rsid w:val="009D6B0F"/>
    <w:rsid w:val="009D6B4A"/>
    <w:rsid w:val="009E2CB4"/>
    <w:rsid w:val="009E6440"/>
    <w:rsid w:val="009F0B29"/>
    <w:rsid w:val="009F2F05"/>
    <w:rsid w:val="009F4C07"/>
    <w:rsid w:val="009F76D0"/>
    <w:rsid w:val="00A0245E"/>
    <w:rsid w:val="00A0543C"/>
    <w:rsid w:val="00A11541"/>
    <w:rsid w:val="00A230E7"/>
    <w:rsid w:val="00A23823"/>
    <w:rsid w:val="00A27222"/>
    <w:rsid w:val="00A4085C"/>
    <w:rsid w:val="00A418A3"/>
    <w:rsid w:val="00A42035"/>
    <w:rsid w:val="00A51416"/>
    <w:rsid w:val="00A518F3"/>
    <w:rsid w:val="00A55F50"/>
    <w:rsid w:val="00A5630D"/>
    <w:rsid w:val="00A60108"/>
    <w:rsid w:val="00A602BA"/>
    <w:rsid w:val="00A61FA5"/>
    <w:rsid w:val="00A64363"/>
    <w:rsid w:val="00A64A7C"/>
    <w:rsid w:val="00A66BBE"/>
    <w:rsid w:val="00A7380D"/>
    <w:rsid w:val="00A74C90"/>
    <w:rsid w:val="00A75888"/>
    <w:rsid w:val="00A76C29"/>
    <w:rsid w:val="00A82A7D"/>
    <w:rsid w:val="00A851E4"/>
    <w:rsid w:val="00A917FB"/>
    <w:rsid w:val="00A92780"/>
    <w:rsid w:val="00AA0A70"/>
    <w:rsid w:val="00AA4448"/>
    <w:rsid w:val="00AA49BB"/>
    <w:rsid w:val="00AC4399"/>
    <w:rsid w:val="00AD10AA"/>
    <w:rsid w:val="00AD6883"/>
    <w:rsid w:val="00AE43B7"/>
    <w:rsid w:val="00AE5308"/>
    <w:rsid w:val="00AE7F4A"/>
    <w:rsid w:val="00AF0854"/>
    <w:rsid w:val="00AF236A"/>
    <w:rsid w:val="00AF3251"/>
    <w:rsid w:val="00AF3812"/>
    <w:rsid w:val="00AF41C9"/>
    <w:rsid w:val="00B04B5E"/>
    <w:rsid w:val="00B069BC"/>
    <w:rsid w:val="00B07A4B"/>
    <w:rsid w:val="00B13348"/>
    <w:rsid w:val="00B17860"/>
    <w:rsid w:val="00B225E6"/>
    <w:rsid w:val="00B228B2"/>
    <w:rsid w:val="00B2494A"/>
    <w:rsid w:val="00B25EC9"/>
    <w:rsid w:val="00B266C3"/>
    <w:rsid w:val="00B26E5E"/>
    <w:rsid w:val="00B27A85"/>
    <w:rsid w:val="00B329F2"/>
    <w:rsid w:val="00B32A7F"/>
    <w:rsid w:val="00B34272"/>
    <w:rsid w:val="00B343E4"/>
    <w:rsid w:val="00B4062E"/>
    <w:rsid w:val="00B41637"/>
    <w:rsid w:val="00B43BF5"/>
    <w:rsid w:val="00B446C0"/>
    <w:rsid w:val="00B44D39"/>
    <w:rsid w:val="00B44E56"/>
    <w:rsid w:val="00B4790A"/>
    <w:rsid w:val="00B479EE"/>
    <w:rsid w:val="00B51311"/>
    <w:rsid w:val="00B5175E"/>
    <w:rsid w:val="00B53F52"/>
    <w:rsid w:val="00B57A9E"/>
    <w:rsid w:val="00B61207"/>
    <w:rsid w:val="00B62B20"/>
    <w:rsid w:val="00B647F1"/>
    <w:rsid w:val="00B65E8D"/>
    <w:rsid w:val="00B71192"/>
    <w:rsid w:val="00B726B4"/>
    <w:rsid w:val="00B734B3"/>
    <w:rsid w:val="00B74C78"/>
    <w:rsid w:val="00B7564F"/>
    <w:rsid w:val="00B800B1"/>
    <w:rsid w:val="00B82973"/>
    <w:rsid w:val="00B84EFE"/>
    <w:rsid w:val="00B86962"/>
    <w:rsid w:val="00B9266B"/>
    <w:rsid w:val="00B93F24"/>
    <w:rsid w:val="00B95131"/>
    <w:rsid w:val="00B96313"/>
    <w:rsid w:val="00B96B66"/>
    <w:rsid w:val="00B96EA7"/>
    <w:rsid w:val="00BA0498"/>
    <w:rsid w:val="00BA1068"/>
    <w:rsid w:val="00BA1A5D"/>
    <w:rsid w:val="00BA1D42"/>
    <w:rsid w:val="00BA3114"/>
    <w:rsid w:val="00BA45A9"/>
    <w:rsid w:val="00BA54C4"/>
    <w:rsid w:val="00BA63B4"/>
    <w:rsid w:val="00BB1678"/>
    <w:rsid w:val="00BB2213"/>
    <w:rsid w:val="00BB3F02"/>
    <w:rsid w:val="00BB585B"/>
    <w:rsid w:val="00BC11B2"/>
    <w:rsid w:val="00BC2E2D"/>
    <w:rsid w:val="00BC32AB"/>
    <w:rsid w:val="00BC4DF2"/>
    <w:rsid w:val="00BD39DB"/>
    <w:rsid w:val="00BD3C96"/>
    <w:rsid w:val="00BD575B"/>
    <w:rsid w:val="00BE13ED"/>
    <w:rsid w:val="00BE5625"/>
    <w:rsid w:val="00BE7E6F"/>
    <w:rsid w:val="00BF3645"/>
    <w:rsid w:val="00BF673A"/>
    <w:rsid w:val="00C013BF"/>
    <w:rsid w:val="00C01B6F"/>
    <w:rsid w:val="00C0327D"/>
    <w:rsid w:val="00C07D2E"/>
    <w:rsid w:val="00C1130B"/>
    <w:rsid w:val="00C1255A"/>
    <w:rsid w:val="00C15EBC"/>
    <w:rsid w:val="00C16922"/>
    <w:rsid w:val="00C1712E"/>
    <w:rsid w:val="00C17441"/>
    <w:rsid w:val="00C2125A"/>
    <w:rsid w:val="00C232B3"/>
    <w:rsid w:val="00C237D2"/>
    <w:rsid w:val="00C26B7B"/>
    <w:rsid w:val="00C3205C"/>
    <w:rsid w:val="00C326D8"/>
    <w:rsid w:val="00C431E5"/>
    <w:rsid w:val="00C44545"/>
    <w:rsid w:val="00C4477A"/>
    <w:rsid w:val="00C47F6D"/>
    <w:rsid w:val="00C53E73"/>
    <w:rsid w:val="00C60737"/>
    <w:rsid w:val="00C615A7"/>
    <w:rsid w:val="00C649E6"/>
    <w:rsid w:val="00C665B8"/>
    <w:rsid w:val="00C71AEC"/>
    <w:rsid w:val="00C771AC"/>
    <w:rsid w:val="00C77E0F"/>
    <w:rsid w:val="00C82674"/>
    <w:rsid w:val="00C84336"/>
    <w:rsid w:val="00C869D5"/>
    <w:rsid w:val="00C95BB7"/>
    <w:rsid w:val="00C95E7F"/>
    <w:rsid w:val="00C972B7"/>
    <w:rsid w:val="00C97955"/>
    <w:rsid w:val="00CA0DC7"/>
    <w:rsid w:val="00CA4435"/>
    <w:rsid w:val="00CA6BC2"/>
    <w:rsid w:val="00CB3E88"/>
    <w:rsid w:val="00CB4753"/>
    <w:rsid w:val="00CB65CE"/>
    <w:rsid w:val="00CC12A7"/>
    <w:rsid w:val="00CC229A"/>
    <w:rsid w:val="00CC234F"/>
    <w:rsid w:val="00CC2645"/>
    <w:rsid w:val="00CC34F2"/>
    <w:rsid w:val="00CC3C1A"/>
    <w:rsid w:val="00CC48D0"/>
    <w:rsid w:val="00CC7F0F"/>
    <w:rsid w:val="00CE1B7D"/>
    <w:rsid w:val="00CE25F2"/>
    <w:rsid w:val="00CE55CF"/>
    <w:rsid w:val="00CF0619"/>
    <w:rsid w:val="00CF2D15"/>
    <w:rsid w:val="00CF549A"/>
    <w:rsid w:val="00CF6C8F"/>
    <w:rsid w:val="00D02DD4"/>
    <w:rsid w:val="00D111F0"/>
    <w:rsid w:val="00D20DAC"/>
    <w:rsid w:val="00D20EA8"/>
    <w:rsid w:val="00D22D73"/>
    <w:rsid w:val="00D3327A"/>
    <w:rsid w:val="00D425B6"/>
    <w:rsid w:val="00D4306B"/>
    <w:rsid w:val="00D437BD"/>
    <w:rsid w:val="00D4515C"/>
    <w:rsid w:val="00D47459"/>
    <w:rsid w:val="00D51AAF"/>
    <w:rsid w:val="00D55BB1"/>
    <w:rsid w:val="00D61466"/>
    <w:rsid w:val="00D62076"/>
    <w:rsid w:val="00D62A01"/>
    <w:rsid w:val="00D70194"/>
    <w:rsid w:val="00D75FE4"/>
    <w:rsid w:val="00D806DC"/>
    <w:rsid w:val="00D922A1"/>
    <w:rsid w:val="00D922B8"/>
    <w:rsid w:val="00D931E7"/>
    <w:rsid w:val="00D96B86"/>
    <w:rsid w:val="00D96E70"/>
    <w:rsid w:val="00D97C49"/>
    <w:rsid w:val="00DA00F9"/>
    <w:rsid w:val="00DA0D35"/>
    <w:rsid w:val="00DA1843"/>
    <w:rsid w:val="00DA2CF2"/>
    <w:rsid w:val="00DA3214"/>
    <w:rsid w:val="00DA3B45"/>
    <w:rsid w:val="00DA5FC5"/>
    <w:rsid w:val="00DA79E8"/>
    <w:rsid w:val="00DB5A18"/>
    <w:rsid w:val="00DC0C50"/>
    <w:rsid w:val="00DC7BDC"/>
    <w:rsid w:val="00DD21C0"/>
    <w:rsid w:val="00DD70D0"/>
    <w:rsid w:val="00DE156C"/>
    <w:rsid w:val="00DE295F"/>
    <w:rsid w:val="00DE3FB2"/>
    <w:rsid w:val="00DE66A8"/>
    <w:rsid w:val="00DF1C81"/>
    <w:rsid w:val="00DF3A3E"/>
    <w:rsid w:val="00E250B6"/>
    <w:rsid w:val="00E252E3"/>
    <w:rsid w:val="00E30049"/>
    <w:rsid w:val="00E370FC"/>
    <w:rsid w:val="00E41983"/>
    <w:rsid w:val="00E450C3"/>
    <w:rsid w:val="00E45BA2"/>
    <w:rsid w:val="00E46A48"/>
    <w:rsid w:val="00E52A3A"/>
    <w:rsid w:val="00E53E9E"/>
    <w:rsid w:val="00E553C9"/>
    <w:rsid w:val="00E56BFF"/>
    <w:rsid w:val="00E57BA2"/>
    <w:rsid w:val="00E604F3"/>
    <w:rsid w:val="00E66D33"/>
    <w:rsid w:val="00E72CB5"/>
    <w:rsid w:val="00E72F4F"/>
    <w:rsid w:val="00E74069"/>
    <w:rsid w:val="00E76E44"/>
    <w:rsid w:val="00E77605"/>
    <w:rsid w:val="00E8237A"/>
    <w:rsid w:val="00E91FA3"/>
    <w:rsid w:val="00E92A1A"/>
    <w:rsid w:val="00E95306"/>
    <w:rsid w:val="00EA1E3B"/>
    <w:rsid w:val="00EA3CAC"/>
    <w:rsid w:val="00EA6824"/>
    <w:rsid w:val="00EA7F49"/>
    <w:rsid w:val="00EB1A9B"/>
    <w:rsid w:val="00EB5807"/>
    <w:rsid w:val="00EC5534"/>
    <w:rsid w:val="00EC7139"/>
    <w:rsid w:val="00ED5C84"/>
    <w:rsid w:val="00ED7ED8"/>
    <w:rsid w:val="00EE2B64"/>
    <w:rsid w:val="00EE30E6"/>
    <w:rsid w:val="00EE3BE4"/>
    <w:rsid w:val="00EE6F5A"/>
    <w:rsid w:val="00EF1EB7"/>
    <w:rsid w:val="00EF3115"/>
    <w:rsid w:val="00EF37F3"/>
    <w:rsid w:val="00EF44C1"/>
    <w:rsid w:val="00EF7EA5"/>
    <w:rsid w:val="00F10BE3"/>
    <w:rsid w:val="00F1350F"/>
    <w:rsid w:val="00F15BD3"/>
    <w:rsid w:val="00F22CA0"/>
    <w:rsid w:val="00F23255"/>
    <w:rsid w:val="00F2400B"/>
    <w:rsid w:val="00F24F80"/>
    <w:rsid w:val="00F27E35"/>
    <w:rsid w:val="00F27EF5"/>
    <w:rsid w:val="00F34DE8"/>
    <w:rsid w:val="00F36C3E"/>
    <w:rsid w:val="00F406D2"/>
    <w:rsid w:val="00F561A2"/>
    <w:rsid w:val="00F612C4"/>
    <w:rsid w:val="00F64B23"/>
    <w:rsid w:val="00F7620E"/>
    <w:rsid w:val="00F838DC"/>
    <w:rsid w:val="00F85565"/>
    <w:rsid w:val="00F9043B"/>
    <w:rsid w:val="00F96122"/>
    <w:rsid w:val="00F9693D"/>
    <w:rsid w:val="00F97494"/>
    <w:rsid w:val="00F97793"/>
    <w:rsid w:val="00FA6D74"/>
    <w:rsid w:val="00FB5780"/>
    <w:rsid w:val="00FB71DC"/>
    <w:rsid w:val="00FC141B"/>
    <w:rsid w:val="00FC1496"/>
    <w:rsid w:val="00FC1E5E"/>
    <w:rsid w:val="00FC56BD"/>
    <w:rsid w:val="00FC6172"/>
    <w:rsid w:val="00FD1E48"/>
    <w:rsid w:val="00FE0FA1"/>
    <w:rsid w:val="00FE2041"/>
    <w:rsid w:val="00FE5860"/>
    <w:rsid w:val="00FE5D61"/>
    <w:rsid w:val="00FE5EE0"/>
    <w:rsid w:val="00FE62F9"/>
    <w:rsid w:val="00FE732C"/>
    <w:rsid w:val="00FE7425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9D37"/>
  <w15:chartTrackingRefBased/>
  <w15:docId w15:val="{25E2FFAF-0295-4BA1-9E7E-E671E449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5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2B64"/>
    <w:pPr>
      <w:keepNext/>
      <w:spacing w:before="40" w:after="40" w:line="228" w:lineRule="auto"/>
      <w:jc w:val="right"/>
      <w:outlineLvl w:val="0"/>
    </w:pPr>
    <w:rPr>
      <w:rFonts w:ascii="Times New Roman" w:eastAsia="Times New Roman" w:hAnsi="Times New Roman"/>
      <w:i/>
      <w:spacing w:val="-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2B64"/>
    <w:pPr>
      <w:keepNext/>
      <w:spacing w:before="40" w:after="40" w:line="228" w:lineRule="auto"/>
      <w:jc w:val="both"/>
      <w:outlineLvl w:val="1"/>
    </w:pPr>
    <w:rPr>
      <w:rFonts w:ascii="Baltica" w:eastAsia="Times New Roman" w:hAnsi="Baltica"/>
      <w:i/>
      <w:spacing w:val="2"/>
      <w:szCs w:val="20"/>
      <w:lang w:val="ru-RU" w:eastAsia="ru-RU"/>
    </w:rPr>
  </w:style>
  <w:style w:type="paragraph" w:styleId="3">
    <w:name w:val="heading 3"/>
    <w:basedOn w:val="4"/>
    <w:next w:val="a"/>
    <w:link w:val="30"/>
    <w:semiHidden/>
    <w:unhideWhenUsed/>
    <w:qFormat/>
    <w:rsid w:val="00EE2B64"/>
    <w:pPr>
      <w:keepLines/>
      <w:widowControl w:val="0"/>
      <w:spacing w:before="480" w:after="240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E2B64"/>
    <w:pPr>
      <w:keepNext/>
      <w:spacing w:before="240" w:after="60" w:line="228" w:lineRule="auto"/>
      <w:jc w:val="both"/>
      <w:outlineLvl w:val="3"/>
    </w:pPr>
    <w:rPr>
      <w:rFonts w:ascii="Arial" w:eastAsia="Times New Roman" w:hAnsi="Arial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EE2B64"/>
    <w:pPr>
      <w:keepNext/>
      <w:spacing w:before="40" w:after="40" w:line="228" w:lineRule="auto"/>
      <w:jc w:val="right"/>
      <w:outlineLvl w:val="4"/>
    </w:pPr>
    <w:rPr>
      <w:rFonts w:ascii="Baltica" w:eastAsia="Times New Roman" w:hAnsi="Baltica"/>
      <w:i/>
      <w:sz w:val="23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2B64"/>
    <w:pPr>
      <w:keepNext/>
      <w:spacing w:before="40" w:after="40" w:line="228" w:lineRule="auto"/>
      <w:jc w:val="both"/>
      <w:outlineLvl w:val="5"/>
    </w:pPr>
    <w:rPr>
      <w:rFonts w:ascii="Baltica" w:eastAsia="Times New Roman" w:hAnsi="Baltica"/>
      <w:i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2B64"/>
    <w:pPr>
      <w:keepNext/>
      <w:spacing w:before="40" w:after="40" w:line="228" w:lineRule="auto"/>
      <w:jc w:val="both"/>
      <w:outlineLvl w:val="6"/>
    </w:pPr>
    <w:rPr>
      <w:rFonts w:ascii="Baltica" w:eastAsia="Times New Roman" w:hAnsi="Baltica"/>
      <w:i/>
      <w:sz w:val="23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2B64"/>
    <w:pPr>
      <w:keepNext/>
      <w:spacing w:before="40" w:after="40" w:line="208" w:lineRule="auto"/>
      <w:jc w:val="both"/>
      <w:outlineLvl w:val="7"/>
    </w:pPr>
    <w:rPr>
      <w:rFonts w:ascii="Baltica" w:eastAsia="Times New Roman" w:hAnsi="Baltica"/>
      <w:i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2B64"/>
    <w:pPr>
      <w:tabs>
        <w:tab w:val="num" w:pos="1584"/>
      </w:tabs>
      <w:spacing w:before="240" w:after="60" w:line="228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B64"/>
    <w:rPr>
      <w:rFonts w:ascii="Times New Roman" w:eastAsia="Times New Roman" w:hAnsi="Times New Roman"/>
      <w:i/>
      <w:spacing w:val="-6"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EE2B64"/>
    <w:rPr>
      <w:rFonts w:ascii="Baltica" w:eastAsia="Times New Roman" w:hAnsi="Baltica"/>
      <w:i/>
      <w:spacing w:val="2"/>
      <w:sz w:val="2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E2B64"/>
    <w:rPr>
      <w:rFonts w:ascii="FuturisExtra" w:eastAsia="Times New Roman" w:hAnsi="FuturisExtra"/>
      <w:noProof/>
      <w:color w:val="008080"/>
      <w:spacing w:val="14"/>
      <w:sz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2B64"/>
    <w:rPr>
      <w:rFonts w:ascii="Arial" w:eastAsia="Times New Roman" w:hAnsi="Arial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rsid w:val="00EE2B64"/>
    <w:rPr>
      <w:rFonts w:ascii="Baltica" w:eastAsia="Times New Roman" w:hAnsi="Baltica"/>
      <w:i/>
      <w:sz w:val="23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EE2B64"/>
    <w:rPr>
      <w:rFonts w:ascii="Baltica" w:eastAsia="Times New Roman" w:hAnsi="Baltica"/>
      <w:i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2B64"/>
    <w:rPr>
      <w:rFonts w:ascii="Baltica" w:eastAsia="Times New Roman" w:hAnsi="Baltica"/>
      <w:i/>
      <w:sz w:val="23"/>
      <w:lang w:eastAsia="ru-RU"/>
    </w:rPr>
  </w:style>
  <w:style w:type="character" w:customStyle="1" w:styleId="80">
    <w:name w:val="Заголовок 8 Знак"/>
    <w:basedOn w:val="a0"/>
    <w:link w:val="8"/>
    <w:semiHidden/>
    <w:rsid w:val="00EE2B64"/>
    <w:rPr>
      <w:rFonts w:ascii="Baltica" w:eastAsia="Times New Roman" w:hAnsi="Baltica"/>
      <w:i/>
      <w:sz w:val="22"/>
      <w:lang w:eastAsia="ru-RU"/>
    </w:rPr>
  </w:style>
  <w:style w:type="character" w:customStyle="1" w:styleId="90">
    <w:name w:val="Заголовок 9 Знак"/>
    <w:basedOn w:val="a0"/>
    <w:link w:val="9"/>
    <w:semiHidden/>
    <w:rsid w:val="00EE2B64"/>
    <w:rPr>
      <w:rFonts w:ascii="Arial" w:eastAsia="Times New Roman" w:hAnsi="Arial"/>
      <w:b/>
      <w:i/>
      <w:sz w:val="18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EE2B64"/>
  </w:style>
  <w:style w:type="numbering" w:customStyle="1" w:styleId="110">
    <w:name w:val="Немає списку11"/>
    <w:next w:val="a2"/>
    <w:uiPriority w:val="99"/>
    <w:semiHidden/>
    <w:unhideWhenUsed/>
    <w:rsid w:val="00EE2B64"/>
  </w:style>
  <w:style w:type="character" w:styleId="a3">
    <w:name w:val="Hyperlink"/>
    <w:semiHidden/>
    <w:unhideWhenUsed/>
    <w:rsid w:val="00EE2B64"/>
    <w:rPr>
      <w:color w:val="0000FF"/>
      <w:u w:val="single"/>
    </w:rPr>
  </w:style>
  <w:style w:type="character" w:styleId="a4">
    <w:name w:val="FollowedHyperlink"/>
    <w:semiHidden/>
    <w:unhideWhenUsed/>
    <w:rsid w:val="00EE2B64"/>
    <w:rPr>
      <w:color w:val="800080"/>
      <w:u w:val="single"/>
    </w:rPr>
  </w:style>
  <w:style w:type="character" w:styleId="HTML">
    <w:name w:val="HTML Keyboard"/>
    <w:semiHidden/>
    <w:unhideWhenUsed/>
    <w:rsid w:val="00EE2B64"/>
    <w:rPr>
      <w:rFonts w:ascii="Arial Unicode MS" w:eastAsia="Arial Unicode MS" w:hAnsi="Arial Unicode MS" w:cs="Arial Unicode MS" w:hint="default"/>
      <w:sz w:val="20"/>
      <w:szCs w:val="20"/>
    </w:rPr>
  </w:style>
  <w:style w:type="paragraph" w:styleId="HTML0">
    <w:name w:val="HTML Preformatted"/>
    <w:basedOn w:val="a"/>
    <w:link w:val="HTML1"/>
    <w:semiHidden/>
    <w:unhideWhenUsed/>
    <w:rsid w:val="00EE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40" w:line="228" w:lineRule="auto"/>
      <w:jc w:val="both"/>
    </w:pPr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ий HTML Знак"/>
    <w:basedOn w:val="a0"/>
    <w:link w:val="HTML0"/>
    <w:semiHidden/>
    <w:rsid w:val="00EE2B64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styleId="a5">
    <w:name w:val="Strong"/>
    <w:qFormat/>
    <w:rsid w:val="00EE2B64"/>
    <w:rPr>
      <w:b/>
      <w:bCs w:val="0"/>
    </w:rPr>
  </w:style>
  <w:style w:type="paragraph" w:customStyle="1" w:styleId="msonormal0">
    <w:name w:val="msonormal"/>
    <w:basedOn w:val="a"/>
    <w:rsid w:val="00EE2B64"/>
    <w:pPr>
      <w:spacing w:before="100" w:beforeAutospacing="1" w:after="100" w:afterAutospacing="1" w:line="228" w:lineRule="auto"/>
      <w:jc w:val="both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6">
    <w:name w:val="Normal (Web)"/>
    <w:basedOn w:val="a"/>
    <w:semiHidden/>
    <w:unhideWhenUsed/>
    <w:rsid w:val="00EE2B64"/>
    <w:pPr>
      <w:spacing w:before="100" w:beforeAutospacing="1" w:after="100" w:afterAutospacing="1" w:line="228" w:lineRule="auto"/>
      <w:jc w:val="both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7">
    <w:name w:val="annotation text"/>
    <w:basedOn w:val="a"/>
    <w:link w:val="a8"/>
    <w:semiHidden/>
    <w:unhideWhenUsed/>
    <w:rsid w:val="00EE2B64"/>
    <w:pPr>
      <w:spacing w:before="40" w:after="40" w:line="228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8">
    <w:name w:val="Текст примітки Знак"/>
    <w:basedOn w:val="a0"/>
    <w:link w:val="a7"/>
    <w:semiHidden/>
    <w:rsid w:val="00EE2B64"/>
    <w:rPr>
      <w:rFonts w:ascii="Times New Roman" w:eastAsia="Times New Roman" w:hAnsi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E2B64"/>
    <w:pPr>
      <w:tabs>
        <w:tab w:val="center" w:pos="4153"/>
        <w:tab w:val="right" w:pos="8306"/>
      </w:tabs>
      <w:spacing w:before="40" w:after="40" w:line="228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EE2B64"/>
    <w:rPr>
      <w:rFonts w:ascii="Times New Roman" w:eastAsia="Times New Roman" w:hAnsi="Times New Roman"/>
      <w:lang w:val="ru-RU" w:eastAsia="ru-RU"/>
    </w:rPr>
  </w:style>
  <w:style w:type="paragraph" w:styleId="ab">
    <w:name w:val="footer"/>
    <w:basedOn w:val="a"/>
    <w:link w:val="ac"/>
    <w:unhideWhenUsed/>
    <w:rsid w:val="00EE2B64"/>
    <w:pPr>
      <w:tabs>
        <w:tab w:val="center" w:pos="4153"/>
        <w:tab w:val="right" w:pos="8306"/>
      </w:tabs>
      <w:spacing w:before="40" w:after="40" w:line="228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Нижній колонтитул Знак"/>
    <w:basedOn w:val="a0"/>
    <w:link w:val="ab"/>
    <w:rsid w:val="00EE2B64"/>
    <w:rPr>
      <w:rFonts w:ascii="Times New Roman" w:eastAsia="Times New Roman" w:hAnsi="Times New Roman"/>
      <w:lang w:val="ru-RU" w:eastAsia="ru-RU"/>
    </w:rPr>
  </w:style>
  <w:style w:type="paragraph" w:styleId="ad">
    <w:name w:val="caption"/>
    <w:basedOn w:val="a"/>
    <w:next w:val="a"/>
    <w:semiHidden/>
    <w:unhideWhenUsed/>
    <w:qFormat/>
    <w:rsid w:val="00EE2B64"/>
    <w:pPr>
      <w:spacing w:before="40" w:after="40" w:line="228" w:lineRule="auto"/>
      <w:jc w:val="right"/>
    </w:pPr>
    <w:rPr>
      <w:rFonts w:ascii="Arial" w:eastAsia="Times New Roman" w:hAnsi="Arial"/>
      <w:b/>
      <w:i/>
      <w:sz w:val="20"/>
      <w:szCs w:val="20"/>
      <w:lang w:val="ru-RU" w:eastAsia="ru-RU"/>
    </w:rPr>
  </w:style>
  <w:style w:type="paragraph" w:styleId="ae">
    <w:name w:val="Body Text"/>
    <w:basedOn w:val="a"/>
    <w:link w:val="af"/>
    <w:semiHidden/>
    <w:unhideWhenUsed/>
    <w:rsid w:val="00EE2B64"/>
    <w:pPr>
      <w:spacing w:before="40" w:after="40" w:line="228" w:lineRule="auto"/>
      <w:jc w:val="both"/>
    </w:pPr>
    <w:rPr>
      <w:rFonts w:ascii="Times New Roman" w:eastAsia="Times New Roman" w:hAnsi="Times New Roman"/>
      <w:sz w:val="23"/>
      <w:szCs w:val="20"/>
      <w:lang w:eastAsia="ru-RU"/>
    </w:rPr>
  </w:style>
  <w:style w:type="character" w:customStyle="1" w:styleId="af">
    <w:name w:val="Основний текст Знак"/>
    <w:basedOn w:val="a0"/>
    <w:link w:val="ae"/>
    <w:semiHidden/>
    <w:rsid w:val="00EE2B64"/>
    <w:rPr>
      <w:rFonts w:ascii="Times New Roman" w:eastAsia="Times New Roman" w:hAnsi="Times New Roman"/>
      <w:sz w:val="23"/>
      <w:lang w:eastAsia="ru-RU"/>
    </w:rPr>
  </w:style>
  <w:style w:type="paragraph" w:styleId="af0">
    <w:name w:val="Body Text Indent"/>
    <w:basedOn w:val="a"/>
    <w:link w:val="af1"/>
    <w:semiHidden/>
    <w:unhideWhenUsed/>
    <w:rsid w:val="00EE2B64"/>
    <w:pPr>
      <w:spacing w:before="40" w:after="40" w:line="228" w:lineRule="auto"/>
      <w:ind w:firstLine="720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1">
    <w:name w:val="Основний текст з відступом Знак"/>
    <w:basedOn w:val="a0"/>
    <w:link w:val="af0"/>
    <w:semiHidden/>
    <w:rsid w:val="00EE2B64"/>
    <w:rPr>
      <w:rFonts w:ascii="Times New Roman" w:eastAsia="Times New Roman" w:hAnsi="Times New Roman"/>
      <w:kern w:val="28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EE2B64"/>
    <w:pPr>
      <w:spacing w:before="40" w:after="40" w:line="228" w:lineRule="auto"/>
      <w:jc w:val="right"/>
    </w:pPr>
    <w:rPr>
      <w:rFonts w:ascii="Times New Roman" w:eastAsia="Times New Roman" w:hAnsi="Times New Roman"/>
      <w:i/>
      <w:sz w:val="23"/>
      <w:szCs w:val="20"/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EE2B64"/>
    <w:rPr>
      <w:rFonts w:ascii="Times New Roman" w:eastAsia="Times New Roman" w:hAnsi="Times New Roman"/>
      <w:i/>
      <w:sz w:val="23"/>
      <w:lang w:eastAsia="ru-RU"/>
    </w:rPr>
  </w:style>
  <w:style w:type="paragraph" w:styleId="23">
    <w:name w:val="Body Text Indent 2"/>
    <w:basedOn w:val="a"/>
    <w:link w:val="24"/>
    <w:semiHidden/>
    <w:unhideWhenUsed/>
    <w:rsid w:val="00EE2B64"/>
    <w:pPr>
      <w:spacing w:before="40" w:after="40" w:line="228" w:lineRule="auto"/>
      <w:ind w:firstLine="709"/>
      <w:jc w:val="both"/>
    </w:pPr>
    <w:rPr>
      <w:rFonts w:ascii="Pragmatica" w:eastAsia="Times New Roman" w:hAnsi="Pragmatica"/>
      <w:sz w:val="24"/>
      <w:szCs w:val="20"/>
      <w:lang w:eastAsia="ru-RU"/>
    </w:rPr>
  </w:style>
  <w:style w:type="character" w:customStyle="1" w:styleId="24">
    <w:name w:val="Основний текст з відступом 2 Знак"/>
    <w:basedOn w:val="a0"/>
    <w:link w:val="23"/>
    <w:semiHidden/>
    <w:rsid w:val="00EE2B64"/>
    <w:rPr>
      <w:rFonts w:ascii="Pragmatica" w:eastAsia="Times New Roman" w:hAnsi="Pragmatica"/>
      <w:sz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EE2B64"/>
    <w:pPr>
      <w:spacing w:after="0" w:line="240" w:lineRule="auto"/>
      <w:jc w:val="both"/>
    </w:pPr>
    <w:rPr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EE2B64"/>
    <w:rPr>
      <w:sz w:val="22"/>
      <w:szCs w:val="21"/>
      <w:lang w:eastAsia="en-US"/>
    </w:rPr>
  </w:style>
  <w:style w:type="paragraph" w:styleId="af4">
    <w:name w:val="annotation subject"/>
    <w:basedOn w:val="a7"/>
    <w:next w:val="a7"/>
    <w:link w:val="af5"/>
    <w:semiHidden/>
    <w:unhideWhenUsed/>
    <w:rsid w:val="00EE2B64"/>
    <w:rPr>
      <w:b/>
      <w:bCs/>
    </w:rPr>
  </w:style>
  <w:style w:type="character" w:customStyle="1" w:styleId="af5">
    <w:name w:val="Тема примітки Знак"/>
    <w:basedOn w:val="a8"/>
    <w:link w:val="af4"/>
    <w:semiHidden/>
    <w:rsid w:val="00EE2B64"/>
    <w:rPr>
      <w:rFonts w:ascii="Times New Roman" w:eastAsia="Times New Roman" w:hAnsi="Times New Roman"/>
      <w:b/>
      <w:bCs/>
      <w:lang w:val="ru-RU" w:eastAsia="ru-RU"/>
    </w:rPr>
  </w:style>
  <w:style w:type="paragraph" w:styleId="af6">
    <w:name w:val="Balloon Text"/>
    <w:basedOn w:val="a"/>
    <w:link w:val="af7"/>
    <w:semiHidden/>
    <w:unhideWhenUsed/>
    <w:rsid w:val="00EE2B64"/>
    <w:pPr>
      <w:spacing w:before="40" w:after="40" w:line="228" w:lineRule="auto"/>
      <w:jc w:val="both"/>
    </w:pPr>
    <w:rPr>
      <w:rFonts w:ascii="Segoe UI" w:eastAsia="Times New Roman" w:hAnsi="Segoe UI"/>
      <w:sz w:val="18"/>
      <w:szCs w:val="18"/>
      <w:lang w:val="ru-RU" w:eastAsia="ru-RU"/>
    </w:rPr>
  </w:style>
  <w:style w:type="character" w:customStyle="1" w:styleId="af7">
    <w:name w:val="Текст у виносці Знак"/>
    <w:basedOn w:val="a0"/>
    <w:link w:val="af6"/>
    <w:semiHidden/>
    <w:rsid w:val="00EE2B64"/>
    <w:rPr>
      <w:rFonts w:ascii="Segoe UI" w:eastAsia="Times New Roman" w:hAnsi="Segoe UI"/>
      <w:sz w:val="18"/>
      <w:szCs w:val="18"/>
      <w:lang w:val="ru-RU" w:eastAsia="ru-RU"/>
    </w:rPr>
  </w:style>
  <w:style w:type="paragraph" w:customStyle="1" w:styleId="Table">
    <w:name w:val="Table"/>
    <w:basedOn w:val="a"/>
    <w:uiPriority w:val="99"/>
    <w:rsid w:val="00EE2B64"/>
    <w:pPr>
      <w:spacing w:before="40" w:after="40" w:line="228" w:lineRule="auto"/>
      <w:jc w:val="both"/>
    </w:pPr>
    <w:rPr>
      <w:rFonts w:ascii="Baltica" w:eastAsia="Times New Roman" w:hAnsi="Baltica"/>
      <w:noProof/>
      <w:szCs w:val="20"/>
      <w:lang w:val="ru-RU" w:eastAsia="ru-RU"/>
    </w:rPr>
  </w:style>
  <w:style w:type="paragraph" w:customStyle="1" w:styleId="12">
    <w:name w:val="заголовок 1"/>
    <w:basedOn w:val="a"/>
    <w:next w:val="a"/>
    <w:uiPriority w:val="99"/>
    <w:rsid w:val="00EE2B64"/>
    <w:pPr>
      <w:keepNext/>
      <w:keepLines/>
      <w:widowControl w:val="0"/>
      <w:suppressAutoHyphens/>
      <w:snapToGrid w:val="0"/>
      <w:spacing w:before="360" w:after="240" w:line="228" w:lineRule="auto"/>
      <w:jc w:val="center"/>
    </w:pPr>
    <w:rPr>
      <w:rFonts w:ascii="FuturisExtra" w:eastAsia="Times New Roman" w:hAnsi="FuturisExtra"/>
      <w:spacing w:val="8"/>
      <w:kern w:val="28"/>
      <w:sz w:val="34"/>
      <w:szCs w:val="20"/>
      <w:lang w:eastAsia="ru-RU"/>
    </w:rPr>
  </w:style>
  <w:style w:type="paragraph" w:customStyle="1" w:styleId="caaieiaie1">
    <w:name w:val="caaieiaie 1"/>
    <w:basedOn w:val="a"/>
    <w:next w:val="a"/>
    <w:rsid w:val="00EE2B64"/>
    <w:pPr>
      <w:keepNext/>
      <w:keepLines/>
      <w:widowControl w:val="0"/>
      <w:suppressAutoHyphens/>
      <w:spacing w:before="360" w:after="240" w:line="228" w:lineRule="auto"/>
      <w:jc w:val="center"/>
    </w:pPr>
    <w:rPr>
      <w:rFonts w:ascii="FuturisExtra" w:eastAsia="Times New Roman" w:hAnsi="FuturisExtra"/>
      <w:spacing w:val="8"/>
      <w:kern w:val="28"/>
      <w:sz w:val="34"/>
      <w:szCs w:val="20"/>
      <w:lang w:eastAsia="ru-RU"/>
    </w:rPr>
  </w:style>
  <w:style w:type="paragraph" w:customStyle="1" w:styleId="Normal1">
    <w:name w:val="Normal1"/>
    <w:rsid w:val="00EE2B64"/>
    <w:pPr>
      <w:spacing w:before="40" w:after="40" w:line="228" w:lineRule="auto"/>
      <w:jc w:val="both"/>
    </w:pPr>
    <w:rPr>
      <w:rFonts w:ascii="Baltica" w:eastAsia="Times New Roman" w:hAnsi="Baltica"/>
      <w:kern w:val="16"/>
      <w:sz w:val="24"/>
      <w:lang w:val="ru-RU" w:eastAsia="ru-RU"/>
    </w:rPr>
  </w:style>
  <w:style w:type="paragraph" w:customStyle="1" w:styleId="Shapka">
    <w:name w:val="Shapka"/>
    <w:rsid w:val="00EE2B64"/>
    <w:pPr>
      <w:spacing w:before="60" w:after="60" w:line="228" w:lineRule="auto"/>
      <w:jc w:val="center"/>
    </w:pPr>
    <w:rPr>
      <w:rFonts w:ascii="Peterburg" w:eastAsia="Times New Roman" w:hAnsi="Peterburg"/>
      <w:sz w:val="18"/>
      <w:lang w:eastAsia="ru-RU"/>
    </w:rPr>
  </w:style>
  <w:style w:type="paragraph" w:customStyle="1" w:styleId="31">
    <w:name w:val="заголовок 3"/>
    <w:basedOn w:val="5"/>
    <w:next w:val="a"/>
    <w:rsid w:val="00EE2B64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customStyle="1" w:styleId="51">
    <w:name w:val="çàãîëîâîê 5"/>
    <w:basedOn w:val="a"/>
    <w:next w:val="a"/>
    <w:rsid w:val="00EE2B64"/>
    <w:pPr>
      <w:widowControl w:val="0"/>
      <w:overflowPunct w:val="0"/>
      <w:autoSpaceDE w:val="0"/>
      <w:autoSpaceDN w:val="0"/>
      <w:adjustRightInd w:val="0"/>
      <w:spacing w:before="40" w:after="60" w:line="264" w:lineRule="auto"/>
      <w:jc w:val="center"/>
    </w:pPr>
    <w:rPr>
      <w:rFonts w:ascii="Arial" w:eastAsia="Times New Roman" w:hAnsi="Arial"/>
      <w:b/>
      <w:noProof/>
      <w:spacing w:val="6"/>
      <w:szCs w:val="20"/>
      <w:lang w:val="ru-RU" w:eastAsia="ru-RU"/>
    </w:rPr>
  </w:style>
  <w:style w:type="paragraph" w:customStyle="1" w:styleId="Ofisial">
    <w:name w:val="Ofisial"/>
    <w:basedOn w:val="a"/>
    <w:rsid w:val="00EE2B64"/>
    <w:pPr>
      <w:overflowPunct w:val="0"/>
      <w:autoSpaceDE w:val="0"/>
      <w:autoSpaceDN w:val="0"/>
      <w:adjustRightInd w:val="0"/>
      <w:spacing w:before="40" w:after="60" w:line="228" w:lineRule="auto"/>
      <w:ind w:firstLine="680"/>
      <w:jc w:val="both"/>
    </w:pPr>
    <w:rPr>
      <w:rFonts w:ascii="Baltica" w:eastAsia="Times New Roman" w:hAnsi="Baltica"/>
      <w:noProof/>
      <w:szCs w:val="20"/>
      <w:lang w:val="ru-RU" w:eastAsia="ru-RU"/>
    </w:rPr>
  </w:style>
  <w:style w:type="paragraph" w:customStyle="1" w:styleId="caaieiaie5">
    <w:name w:val="caaieiaie 5"/>
    <w:basedOn w:val="a"/>
    <w:next w:val="a"/>
    <w:rsid w:val="00EE2B64"/>
    <w:pPr>
      <w:widowControl w:val="0"/>
      <w:overflowPunct w:val="0"/>
      <w:autoSpaceDE w:val="0"/>
      <w:autoSpaceDN w:val="0"/>
      <w:adjustRightInd w:val="0"/>
      <w:spacing w:before="40" w:after="60" w:line="264" w:lineRule="auto"/>
      <w:jc w:val="center"/>
    </w:pPr>
    <w:rPr>
      <w:rFonts w:ascii="Arial" w:eastAsia="Times New Roman" w:hAnsi="Arial"/>
      <w:b/>
      <w:noProof/>
      <w:spacing w:val="6"/>
      <w:szCs w:val="20"/>
      <w:lang w:val="ru-RU" w:eastAsia="ru-RU"/>
    </w:rPr>
  </w:style>
  <w:style w:type="paragraph" w:customStyle="1" w:styleId="rvps2">
    <w:name w:val="rvps2"/>
    <w:basedOn w:val="a"/>
    <w:rsid w:val="00EE2B64"/>
    <w:pPr>
      <w:spacing w:before="40" w:after="100" w:afterAutospacing="1" w:line="228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Звичайний1"/>
    <w:rsid w:val="00EE2B64"/>
    <w:rPr>
      <w:rFonts w:ascii="Times New Roman" w:eastAsia="Times New Roman" w:hAnsi="Times New Roman"/>
      <w:lang w:val="ru-RU" w:eastAsia="ru-RU"/>
    </w:rPr>
  </w:style>
  <w:style w:type="paragraph" w:customStyle="1" w:styleId="table0">
    <w:name w:val="table"/>
    <w:basedOn w:val="a"/>
    <w:rsid w:val="00EE2B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8">
    <w:name w:val="annotation reference"/>
    <w:semiHidden/>
    <w:unhideWhenUsed/>
    <w:rsid w:val="00EE2B64"/>
    <w:rPr>
      <w:sz w:val="16"/>
      <w:szCs w:val="16"/>
    </w:rPr>
  </w:style>
  <w:style w:type="character" w:customStyle="1" w:styleId="af9">
    <w:name w:val="Основной шрифт"/>
    <w:rsid w:val="00EE2B64"/>
  </w:style>
  <w:style w:type="character" w:customStyle="1" w:styleId="std">
    <w:name w:val="std"/>
    <w:rsid w:val="00EE2B64"/>
  </w:style>
  <w:style w:type="character" w:customStyle="1" w:styleId="gl">
    <w:name w:val="gl"/>
    <w:rsid w:val="00EE2B64"/>
  </w:style>
  <w:style w:type="character" w:customStyle="1" w:styleId="rvts23">
    <w:name w:val="rvts23"/>
    <w:rsid w:val="00EE2B64"/>
  </w:style>
  <w:style w:type="character" w:customStyle="1" w:styleId="xfm15918420">
    <w:name w:val="xfm_15918420"/>
    <w:basedOn w:val="a0"/>
    <w:rsid w:val="0021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297F-654A-479C-BF17-4F707E7A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24544</Words>
  <Characters>13991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Лариса Миколаївна</dc:creator>
  <cp:keywords/>
  <dc:description/>
  <cp:lastModifiedBy>Істратенко Ігор Миколайович</cp:lastModifiedBy>
  <cp:revision>5</cp:revision>
  <cp:lastPrinted>2022-02-18T14:43:00Z</cp:lastPrinted>
  <dcterms:created xsi:type="dcterms:W3CDTF">2022-02-21T16:02:00Z</dcterms:created>
  <dcterms:modified xsi:type="dcterms:W3CDTF">2022-02-21T16:18:00Z</dcterms:modified>
</cp:coreProperties>
</file>