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B1" w:rsidRPr="005279AE" w:rsidRDefault="00A21FB1" w:rsidP="00306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5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45"/>
      </w:tblGrid>
      <w:tr w:rsidR="001471AA" w:rsidRPr="00603B3B" w:rsidTr="00050D26">
        <w:trPr>
          <w:cantSplit/>
          <w:trHeight w:val="340"/>
          <w:jc w:val="right"/>
        </w:trPr>
        <w:tc>
          <w:tcPr>
            <w:tcW w:w="10345" w:type="dxa"/>
          </w:tcPr>
          <w:p w:rsidR="001471AA" w:rsidRPr="00603B3B" w:rsidRDefault="001471AA" w:rsidP="00050D26">
            <w:pPr>
              <w:spacing w:after="0"/>
              <w:jc w:val="right"/>
              <w:rPr>
                <w:rFonts w:ascii="Times New Roman" w:hAnsi="Times New Roman"/>
                <w:i/>
                <w:sz w:val="23"/>
                <w:szCs w:val="23"/>
              </w:rPr>
            </w:pP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Узгоджено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Погоджувальною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радою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депутатських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фракцій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і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груп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</w:tr>
      <w:tr w:rsidR="001471AA" w:rsidRPr="00603B3B" w:rsidTr="00050D26">
        <w:trPr>
          <w:cantSplit/>
          <w:trHeight w:val="562"/>
          <w:jc w:val="right"/>
        </w:trPr>
        <w:tc>
          <w:tcPr>
            <w:tcW w:w="10345" w:type="dxa"/>
          </w:tcPr>
          <w:p w:rsidR="001471AA" w:rsidRPr="00603B3B" w:rsidRDefault="001471AA" w:rsidP="00050D26">
            <w:pPr>
              <w:jc w:val="right"/>
              <w:rPr>
                <w:rFonts w:ascii="Times New Roman" w:hAnsi="Times New Roman"/>
                <w:i/>
                <w:sz w:val="23"/>
                <w:szCs w:val="23"/>
              </w:rPr>
            </w:pP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31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травня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2021</w:t>
            </w:r>
            <w:r w:rsidR="003762E0" w:rsidRPr="00603B3B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03B3B">
              <w:rPr>
                <w:rFonts w:ascii="Times New Roman" w:hAnsi="Times New Roman"/>
                <w:i/>
                <w:sz w:val="23"/>
                <w:szCs w:val="23"/>
              </w:rPr>
              <w:t>року</w:t>
            </w:r>
          </w:p>
        </w:tc>
      </w:tr>
    </w:tbl>
    <w:p w:rsidR="00F70CA6" w:rsidRDefault="00F70CA6" w:rsidP="00306A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</w:pPr>
    </w:p>
    <w:p w:rsidR="00306A01" w:rsidRPr="005279AE" w:rsidRDefault="00306A01" w:rsidP="00306A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</w:pP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Р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О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З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К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Л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А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Д</w:t>
      </w:r>
    </w:p>
    <w:p w:rsidR="00306A01" w:rsidRPr="005279AE" w:rsidRDefault="00306A01" w:rsidP="00306A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</w:pPr>
      <w:r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засідань</w:t>
      </w:r>
      <w:r w:rsidR="003762E0"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Верховної</w:t>
      </w:r>
      <w:r w:rsidR="003762E0"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Ради</w:t>
      </w:r>
      <w:r w:rsidR="003762E0"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України</w:t>
      </w:r>
    </w:p>
    <w:p w:rsidR="00306A01" w:rsidRPr="005279AE" w:rsidRDefault="00306A01" w:rsidP="00306A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</w:pP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на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921A7C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1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-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921A7C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4</w:t>
      </w:r>
      <w:r w:rsidR="003762E0" w:rsidRPr="005279AE">
        <w:rPr>
          <w:rFonts w:ascii="Times New Roman" w:eastAsia="Times New Roman" w:hAnsi="Times New Roman"/>
          <w:b/>
          <w:i/>
          <w:noProof/>
          <w:spacing w:val="14"/>
          <w:sz w:val="24"/>
          <w:szCs w:val="24"/>
          <w:lang w:eastAsia="ru-RU"/>
        </w:rPr>
        <w:t xml:space="preserve"> </w:t>
      </w:r>
      <w:r w:rsidR="00921A7C" w:rsidRPr="005279AE">
        <w:rPr>
          <w:rFonts w:ascii="Times New Roman" w:eastAsia="Times New Roman" w:hAnsi="Times New Roman"/>
          <w:b/>
          <w:i/>
          <w:noProof/>
          <w:spacing w:val="14"/>
          <w:sz w:val="24"/>
          <w:szCs w:val="24"/>
          <w:lang w:eastAsia="ru-RU"/>
        </w:rPr>
        <w:t>червня</w:t>
      </w:r>
      <w:r w:rsidR="003762E0" w:rsidRPr="005279AE">
        <w:rPr>
          <w:rFonts w:ascii="Times New Roman" w:eastAsia="Times New Roman" w:hAnsi="Times New Roman"/>
          <w:b/>
          <w:i/>
          <w:noProof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2021</w:t>
      </w:r>
      <w:r w:rsidR="003762E0"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5279AE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року</w:t>
      </w:r>
    </w:p>
    <w:p w:rsidR="004714C7" w:rsidRPr="005279AE" w:rsidRDefault="004714C7" w:rsidP="004714C7">
      <w:pPr>
        <w:tabs>
          <w:tab w:val="left" w:pos="453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12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1133"/>
        <w:gridCol w:w="1214"/>
        <w:gridCol w:w="6792"/>
        <w:gridCol w:w="2138"/>
      </w:tblGrid>
      <w:tr w:rsidR="00306A01" w:rsidRPr="00603B3B" w:rsidTr="00F33D59">
        <w:trPr>
          <w:cantSplit/>
        </w:trPr>
        <w:tc>
          <w:tcPr>
            <w:tcW w:w="1133" w:type="dxa"/>
            <w:vAlign w:val="center"/>
            <w:hideMark/>
          </w:tcPr>
          <w:p w:rsidR="00306A01" w:rsidRPr="005279AE" w:rsidRDefault="00306A01" w:rsidP="00306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Реєстр.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14" w:type="dxa"/>
            <w:vAlign w:val="center"/>
            <w:hideMark/>
          </w:tcPr>
          <w:p w:rsidR="00306A01" w:rsidRPr="005279AE" w:rsidRDefault="00306A01" w:rsidP="00306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єкт</w:t>
            </w:r>
            <w:proofErr w:type="spellEnd"/>
            <w:r w:rsidR="003762E0"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ініціативи</w:t>
            </w:r>
          </w:p>
        </w:tc>
        <w:tc>
          <w:tcPr>
            <w:tcW w:w="6792" w:type="dxa"/>
            <w:vAlign w:val="center"/>
            <w:hideMark/>
          </w:tcPr>
          <w:p w:rsidR="00306A01" w:rsidRPr="005279AE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3762E0"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законопроекту</w:t>
            </w:r>
            <w:r w:rsidR="003762E0"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(питання)</w:t>
            </w:r>
          </w:p>
        </w:tc>
        <w:tc>
          <w:tcPr>
            <w:tcW w:w="2138" w:type="dxa"/>
            <w:vAlign w:val="center"/>
            <w:hideMark/>
          </w:tcPr>
          <w:p w:rsidR="00306A01" w:rsidRPr="005279AE" w:rsidRDefault="00306A01" w:rsidP="00306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  <w:p w:rsidR="00306A01" w:rsidRPr="005279AE" w:rsidRDefault="00306A01" w:rsidP="00306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підготовку</w:t>
            </w:r>
          </w:p>
        </w:tc>
      </w:tr>
      <w:tr w:rsidR="00306A01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06A01" w:rsidRPr="005279AE" w:rsidRDefault="00306A01" w:rsidP="00306A0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6A01" w:rsidRPr="005279AE" w:rsidRDefault="00306A01" w:rsidP="00306A0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06A01" w:rsidRPr="005279AE" w:rsidRDefault="00921A7C" w:rsidP="001244B2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306A01"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>(вівторок)</w:t>
            </w:r>
          </w:p>
        </w:tc>
        <w:tc>
          <w:tcPr>
            <w:tcW w:w="2138" w:type="dxa"/>
            <w:shd w:val="clear" w:color="auto" w:fill="FFFFFF"/>
          </w:tcPr>
          <w:p w:rsidR="00C70547" w:rsidRPr="005279AE" w:rsidRDefault="00C70547" w:rsidP="0039376C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42DDA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542DDA" w:rsidRPr="005279AE" w:rsidRDefault="00542DDA" w:rsidP="00542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2DDA" w:rsidRPr="005279AE" w:rsidRDefault="00542DDA" w:rsidP="00306A0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542DDA" w:rsidRPr="005279AE" w:rsidRDefault="00542DDA" w:rsidP="00921A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542DDA" w:rsidRPr="005279AE" w:rsidRDefault="00542DDA" w:rsidP="00306A01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42DDA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542DDA" w:rsidRPr="005279AE" w:rsidRDefault="00542DDA" w:rsidP="00542DDA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gip"/>
            <w:bookmarkEnd w:id="0"/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4690-15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2DDA" w:rsidRPr="005279AE" w:rsidRDefault="00542DDA" w:rsidP="00542DDA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542DDA" w:rsidRPr="005279AE" w:rsidRDefault="00542DDA" w:rsidP="00542DDA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порядку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денного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п'ятої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сесії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дев'ятого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скликання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:rsidR="00542DDA" w:rsidRPr="005279AE" w:rsidRDefault="00542DDA" w:rsidP="0054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keepNext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b/>
                <w:i/>
                <w:lang w:val="uk-UA"/>
              </w:rPr>
              <w:t>друге</w:t>
            </w:r>
            <w:r w:rsidR="003762E0" w:rsidRPr="005279A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b/>
                <w:i/>
                <w:lang w:val="uk-UA"/>
              </w:rPr>
              <w:t>читання</w:t>
            </w:r>
            <w:bookmarkStart w:id="1" w:name="_GoBack"/>
            <w:bookmarkEnd w:id="1"/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2051-1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обмеження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обігу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пластикових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пакетів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території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І.Кривошеєва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20.09.2020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(повторне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18.12.2020)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вшанування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пам’яті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дітей,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загинули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внаслідок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збройної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агресії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Російської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М.Мезенцевої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09.04.2021)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включення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деннного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скорочення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термінів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розгляду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5589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додатка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рік"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розширеного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неонатального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скринінгу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28.05.2021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01-01/491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одержано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31.05.2021)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Ю.Арістов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5554</w:t>
            </w:r>
          </w:p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5554-1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keepNext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Проект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Закону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про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внесення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змін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до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деяких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законів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щодо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підтримки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вітчизняних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виробників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теле-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та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кінопродукції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в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період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встановлення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карантину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у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зв’язку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із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поширенням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на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території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України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гострої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респіраторної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хвороби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COVID-19,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спричиненої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коронавірусом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SARS-CoV-2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(проект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н.д.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М.Потураєва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надано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25.05.2021,</w:t>
            </w:r>
            <w:r w:rsidR="003762E0"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О.Санченка</w:t>
            </w:r>
            <w:r w:rsidRPr="005279AE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kern w:val="16"/>
                <w:sz w:val="24"/>
                <w:szCs w:val="24"/>
                <w:lang w:eastAsia="uk-UA"/>
              </w:rPr>
              <w:t>М.Потураєв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5462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складу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конкурсу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зайняття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Директора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Бюро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поданням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Комітету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фінансів,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податкової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митної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політики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Д.Гетманцева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05.05.2021)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Д.Гетманцев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5494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складу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конкурсу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зайняття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Директора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Бюро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поданням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Комітету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правоохоронної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Д.Монастирського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18.05.2021)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b/>
                <w:i/>
                <w:lang w:val="uk-UA"/>
              </w:rPr>
              <w:t>друге</w:t>
            </w:r>
            <w:r w:rsidR="003762E0" w:rsidRPr="005279A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b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5301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розділу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"Прикінцеві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положення"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Митного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розвиток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літакобудівної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промисловості"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підтримки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літакобудівної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галузі"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авіакомпаніям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перехідного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періоду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переходу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літаків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вітчизняного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А.Мотовиловця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29.03.2021)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24.05.2021)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Д.Гетманцев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b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b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період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здійснення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спрямованих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запобігання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виникненню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поширенню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коронавірусної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COVID-19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15.10.2020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01-01/862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19.11.2020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38794/0/2-20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24.11.2020)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5125</w:t>
            </w:r>
          </w:p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5125-1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кредитні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спілки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Д.Гетманцева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Ю.Тимошенко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11.03.2021)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повторне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4187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підтримки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вітчизняних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галузей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надрокористування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(повторне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П.Якименка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07.10.2020,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доопрацьований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11.03.2021)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О.Бондаренко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для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включення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до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порядку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денного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і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прийняття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рішення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5323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засади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політики"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01.04.2021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10597/0/2-21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05.04.2021)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lang w:val="uk-UA"/>
              </w:rPr>
              <w:t>А.Клочко</w:t>
            </w: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F016F5" w:rsidRPr="005279AE" w:rsidRDefault="00F016F5" w:rsidP="00F0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016F5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5246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792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процесуального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інформаційно-телекомунікаційної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системи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досудового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розслідування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скороченням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строку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підготовки)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15.03.2021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01-01/276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16.03.2021)</w:t>
            </w:r>
          </w:p>
        </w:tc>
        <w:tc>
          <w:tcPr>
            <w:tcW w:w="2138" w:type="dxa"/>
          </w:tcPr>
          <w:p w:rsidR="00F016F5" w:rsidRPr="005279AE" w:rsidRDefault="00F016F5" w:rsidP="00F016F5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F016F5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spacing w:val="-4"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spacing w:val="-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spacing w:val="-4"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F016F5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4545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статті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прикордонну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службу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України»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прикордонної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служби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Ю.Здебського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29.12.2020)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403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762E0" w:rsidRPr="005279AE" w:rsidRDefault="00314537" w:rsidP="00314537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повторного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розгляду</w:t>
            </w:r>
          </w:p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пропозиціями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Президента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pacing w:val="-6"/>
                <w:lang w:eastAsia="ru-RU"/>
              </w:rPr>
              <w:t>України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Фонду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інвалідів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термінології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інвалідністю"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пропозиціями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Президента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01-01/208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22.02.2021)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запобігання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корупції"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упорядкування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викривачів"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пропозиціями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Президента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03.03.2021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01-01/242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А.Радіна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матеріали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предмети,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контактують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харчовими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продуктами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М.Мезенцевої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06.01.2021)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4564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відомостей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проживання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громадян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тимчасово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окупованих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територіях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Донецькій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Луганській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областях,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Автономній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Республіці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Севастополі,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також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документів,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посвідчують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особу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підтверджують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громадянство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Д.Лубінця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06.01.2021)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Д.Лубінець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автомобільні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дороги"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17.07.2020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24567/0/2-20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21.07.2020)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скороченням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підготовки)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18.12.2020)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Ю.Кісєль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3515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3515-1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формування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прожиткового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мінімуму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створення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передумов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його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Г.Третьякової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25.05.2020,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11.06.2020)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5122</w:t>
            </w:r>
          </w:p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5122-1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5122-2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лікарські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продажу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лікарських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дітям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С.Кузьміних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Д.Соломчука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Т.Плачкової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М.Радуцький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населення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інфекційних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медичних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постраждалих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коронавірусної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(COVID-19)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М.Радуцького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М.Радуцький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5123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5123-1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42-4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продажу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лікарських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дітям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С.Кузьміних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Т.Плачкової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повторне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перше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4358</w:t>
            </w:r>
          </w:p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4358-4</w:t>
            </w:r>
          </w:p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4358-5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здоров’я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населення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шкідливого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впливу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тютюну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(повторне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Л.Булах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12.11.2020,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І.Шинкаренка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М.Заблоцького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М.Радуцький</w:t>
            </w:r>
          </w:p>
        </w:tc>
      </w:tr>
      <w:tr w:rsidR="00161B06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161B06" w:rsidRPr="005279AE" w:rsidRDefault="00161B06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B06" w:rsidRPr="005279AE" w:rsidRDefault="00161B06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</w:tcPr>
          <w:p w:rsidR="00161B06" w:rsidRPr="005279AE" w:rsidRDefault="00161B06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161B06" w:rsidRPr="005279AE" w:rsidRDefault="00161B06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367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службову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недбалість,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спричинила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загибель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людини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Г.Мамки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27.01.2021)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5305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засад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бюро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розслідувань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Ю.Яцик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31.03.2021)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3821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поштовий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зв'язок"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09.07.2020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23225/0/2-20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Ю.Кісєль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розширення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повноважень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інспекторів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паркування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інтересів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інвалідністю)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С.Штепи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надано19.01.2021)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4662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4662-1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розділу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X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"Прикінцеві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перехідні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публічні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закупівлі"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можливості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закупівель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лікарських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договорами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керованого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доступу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М.Радуцького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Уряду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28.01.2021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2548/0/2-21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–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01.02.2021)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для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включення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до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порядку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денного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і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прийняття</w:t>
            </w:r>
            <w:r w:rsidR="003762E0"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03B3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рішення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5315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страхування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Д.Гетманцева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друге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FF0000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частини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запобігання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корупції"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усунення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невизначеності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обов'язків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членів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адвокатського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самоврядування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стосовно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заповнення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уповноважених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або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самоврядування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О.Дануци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11.06.2020)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скороченням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підготовки)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А.Радіна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FF0000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5009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спрощення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приєднання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електричних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мереж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А.Геруса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05.02.2021)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5267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виконавче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провадження"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створення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умов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угод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врегулювання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спору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(мирових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угод),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укладених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іноземним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суб'єктом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державою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17.03.2021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8699/0/2-21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3783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3783-1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посилення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окремі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службової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надають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публічні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послуги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авторитету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органів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влади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Г.Янченко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06.07.2020,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І.Фріса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15.07.2020)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повторне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FF0000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4265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реєстрацію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геномної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інформації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людини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(повторне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О.Бакумова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28.10.2020,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доопрацьований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310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(середа)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5573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позачергових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виборів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Надлацького</w:t>
            </w:r>
            <w:proofErr w:type="spellEnd"/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сільського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Голованівського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Кіровоградської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А.Загоруйко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5569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позачергових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виборів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Уланівського</w:t>
            </w:r>
            <w:proofErr w:type="spellEnd"/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сільського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Хмільницького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Вінницької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А.Загоруйко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5567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позачергових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виборів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Смотрицького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селищного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Кам’янець-Подільського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Хмельницької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А.Загоруйко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5568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позачергових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виборів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Кельменецького</w:t>
            </w:r>
            <w:proofErr w:type="spellEnd"/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селищного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Дністровського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Чернівецької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А.Загоруйко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правовий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режим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майна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Збройних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Силах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А.Кожем'якіна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04.05.2020)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10.03.2021)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перше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антидопінгову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5241/0/2-21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А.Кожем'якін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друге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меценатської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А.Кожем'якіна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20.05.2020)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24.03.2021)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А.Кожем'якін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телекомунікації"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інших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моніторингу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послуг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рухомого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(мобільного)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зв’язку)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О.Федієнка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М.Крячко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5465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освіту"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якості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навчальної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літератури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С.Бабака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07.05.2021)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міжнародного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співробітництва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26.11.2020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39555/0/2-20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30.11.2020)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3986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паспорт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формі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книжечки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13.08.2020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28121/0/2-20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18.08.2020)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4388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статус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ветеранів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війни,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гарантії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соціального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захисту"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уточнення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норм,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врегульовують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категорій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визнаються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ветеранами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війни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А.Остапенка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20.11.2020)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“Про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споживачів”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гарантійних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зобов’язань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електронному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вигляді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Є.Чернєва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4221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професійної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Г.Лічман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ідентифікації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реєстрації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тварин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П.Юрчишина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20.11.2020)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застосування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засуджених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тримаються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вартою,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примусового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05.11.2020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37235/0/2-20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09.11.2020)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5376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Податкового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стимулювання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цифрової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економіки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Є.Чернєва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16.04.2021)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вимог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режиму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радіаційної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місцевостях,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зазнали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радіоактивного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забруднення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24.09.2020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32691/0/2-20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друге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скасування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отриманих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нерезидентами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вигляді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виробництво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та/або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розповсюдження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реклами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додану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вартість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постачання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нерезидентами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послуг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Д.Гетманцева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06.10.2020)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26.04.2021)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перше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164-12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розширення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переліку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порушень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40354/0/2-20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4668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4668-1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пенсійного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28.01.2021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2571/0/2-21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18.02.2021)</w:t>
            </w:r>
            <w:r w:rsidR="003762E0"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2797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героїзації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військових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злочинців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легалізації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нацизму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М.Бужанського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27.01.2020,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доопрацьований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12.02.2020)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5109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протидію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антисемітизму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М.Бужанського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Д.Лубінець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3200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3200-1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мисливського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запобігання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незаконному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полюванню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О.Бондаренка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16.03.2020,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С.Литвиненка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20.03.2020)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3950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3950-1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цивільного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30.07.2020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26293/0/2-20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10.08.2020,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25.08.2020)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5200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Бюджетним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спеціальне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використання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об'єктів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тваринного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світу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природних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рослинних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ресурсів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04.03.2021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6989/0/2-21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бібліотеки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бібліотечну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справу"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(нова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редакція)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Є.Кравчук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5266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5266-1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17.03.2021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8715/0/2-21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–09.04.2021)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5477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утворення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Тимчасової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слідчої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розслідування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можливих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протиправних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посадових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космічного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агентства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(Національного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космічного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агентства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космічної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галузі,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зокрема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"Либідь"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"Циклон-4"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С.Тарути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13.05.2021)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друге</w:t>
            </w:r>
            <w:r w:rsidR="003762E0" w:rsidRPr="005279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4539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пільг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окремим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категоріям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громадян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звертаються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вчиненням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консульських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24.12.2020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42899/0/2-20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29.12.2020)</w:t>
            </w:r>
            <w:r w:rsidR="003762E0" w:rsidRPr="005279AE">
              <w:rPr>
                <w:rFonts w:ascii="Times New Roman" w:hAnsi="Times New Roman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28.05.2020)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4113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посилення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соціальних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гарантій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17.09.2020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31993/0/2-20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2329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свобод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внутрішньо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переміщених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звільнення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внутрішньо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переміщених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негативних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наслідків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грошових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зобов'язань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М.Ткаченка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31.10.2019)</w:t>
            </w:r>
            <w:r w:rsidR="003762E0" w:rsidRPr="005279AE">
              <w:rPr>
                <w:rFonts w:ascii="Times New Roman" w:hAnsi="Times New Roman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12.05.2021)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Д.Лубінець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1180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біоресурсів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середовища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існування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О.Маріковського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21.01.2020)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30.09.2020)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розширення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можуть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претендувати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вступ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скороченням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підготовки)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І.Фріса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16.11.2020)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19.05.2021)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2621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статті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уточнення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ознак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окремих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злочинів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службової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01-01/1049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19.12.2019)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279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13.05.2021)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4488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встановлення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Попасної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Сєвєродонецького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41332/0/2-20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Мармузовичі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Буського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Львівської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14.01.2020)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Болгарка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Бердянського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Запорізької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Старий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Чорторийськ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Камінь-Каширського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Волинської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16.02.2021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Химчин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Косівського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Івано-Франківської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16.02.2021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Поминик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Уманського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Черкаської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16.02.2021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перейменування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Кийданці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Коломийського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району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Івано-Франківської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А.Клочка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16.02.2021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питання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ратифікації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0085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вихід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Угоди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основні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напрями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співробітництва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держав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-</w:t>
            </w:r>
            <w:r w:rsidR="003762E0"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учасниць</w:t>
            </w:r>
            <w:r w:rsidR="003762E0"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Співдружності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t>Незалежних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галузі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споживачів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42913/0/2-20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0088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вихід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Угоди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співробітництво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інтелектуальної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власності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створення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інтелектуальної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власності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11.01.2021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522/0/2-21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15.01.2021)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0091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приєднання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Міжамериканської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конвенції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стосовно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зобов'язань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утримання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01-01/204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0092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Конвенції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угоди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вибір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01-01/211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0075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Меморандуму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взаєморозуміння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Україною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Європейським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поліцейським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офісом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стосовно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конфіденційності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збереження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інформації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27.10.2020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01-01/887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04.11.2020)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0089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Угоди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Україною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Фінляндською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Республікою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взаємну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охорону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інформації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обмеженим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доступом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05.02.2021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01-01/173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10.02.2021)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0090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Протоколу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Конвенції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Україною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Королівством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Нідерландів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уникнення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подвійного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попередження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податкових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ухилень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стосовно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податків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доходи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майно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17.02.2021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01-01/203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19.02.2021)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0094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приєднання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Конвенції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Європейський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інститут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лісу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04.03.2021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01-01/251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</w:rPr>
              <w:t>11.03.2021)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0098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Протоколу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приєднання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Європейського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Співтовариства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Міжнародної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Конвенції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співробітництва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галузі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аеронавігації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"ЄВРОКОНТРОЛЬ"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грудня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1960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року,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зміненої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консолідованої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Протоколом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1997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02.04.2021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01-01/335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ратифікацію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Угоди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Кабінетом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Урядом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Федеративної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Республіки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Німеччина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фінансове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співробітництво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(асигнування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2012-2019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років)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16.04.2021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12561/0/2-21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І.Климпуш-Цинцадзе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спорт"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впорядкування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спортивних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клубів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спортивних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уточнення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положень)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6155/0/2-21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А.Кожем'якін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3033а</w:t>
            </w:r>
          </w:p>
          <w:p w:rsidR="00314537" w:rsidRPr="005279AE" w:rsidRDefault="00314537" w:rsidP="003145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3033а-1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додаткових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гарантій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педагогічних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науково-педагогічних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карантину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або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обмежувальних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пов'язаних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поширенням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коронавірусної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(COVID-19)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В.Новинського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31.08.2020,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16.09.2020,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3077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3077-1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меншин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Н.Шуфрича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О.Волошина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07.07.2020)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наукову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науково-технічну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діяльність"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науково-мистецької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В.Колюха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27.03.2020,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21.09.2020)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3430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3430-1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відновлення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учасників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освітнього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Ю.Тимошенко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07.05.2020,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25.05.2020,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13.07.2020)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доступності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середньої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Ю.Тимошенко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здобуття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середньої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Ю.Бойка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відхилення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вимог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лікарські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Д.Соломчука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24.02.2021,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відхилення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3918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дотримання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вагових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або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габаритних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норм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Г.Касая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24.07.2020,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Ю.Кісєль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Робота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комітетах,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фракціях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групах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vAlign w:val="center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(четвер)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2195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скасування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прийняття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другому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цілому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продажу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земельних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ділянок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комунальної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власності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(оренди,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суперфіцію,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емфітевзису)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через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електронні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аукціони"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Ю.Тимошенко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В.Дубіля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А.Лабунської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В.Кабаченка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В.Івченка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А.Пузійчука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21.05.2021,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В.Наливайченка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24.05.2021)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lang w:val="uk-UA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762E0">
            <w:pPr>
              <w:pStyle w:val="Table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2689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скасування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20.05.2021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прийняття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другому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цілому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імплементації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норм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права"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М.Забродського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24.05.2021)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lang w:val="uk-UA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lang w:eastAsia="ru-RU"/>
              </w:rPr>
              <w:t>*</w:t>
            </w:r>
            <w:r w:rsidR="003762E0" w:rsidRPr="005279AE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lang w:eastAsia="ru-RU"/>
              </w:rPr>
              <w:t>*</w:t>
            </w:r>
            <w:r w:rsidR="003762E0" w:rsidRPr="005279AE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lang w:eastAsia="ru-RU"/>
              </w:rPr>
              <w:t>*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sz w:val="24"/>
                <w:szCs w:val="24"/>
              </w:rPr>
              <w:t>Звіт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телебачення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радіомовлення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за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рік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Постанови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№5341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поданням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07.04.2021)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космічну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діяльність"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статусу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розподілу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повноважень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центральними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виконавчої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влади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космічної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Д.Наталухи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09.02.2021)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5352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Постанови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складі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Тимчасової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слідчої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Верховної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розслідування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випадків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причин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порушення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децентралізації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повноважень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дитинства,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системи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закладів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догляду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виховання,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сімейне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виховання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усиновлення,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(модернізації)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соціальних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послуг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П.Сушка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13.04.2021)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питання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ратифікації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ратифікацію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Угоди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формі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обміну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нотами)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Урядом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Урядом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Сполучених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Штатів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Америки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Угоди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Урядом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Урядом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Сполучених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Штатів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Америки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співробітництво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науки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технологій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01.04.2021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10599/0/2-21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13.04.2021)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5010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розділу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"Прикінцеві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перехідні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недопущення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негативних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економічних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наслідків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недобросовісного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підприємств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внаслідок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військової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агресії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сході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Д.Наталухи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05.02.2021)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рівноправності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Д.Володіної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28.02.2020)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4147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4147-1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функціонування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системи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кваліфікацій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О.Коваль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25.09.2020,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Ю.Гришиної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15.10.2020)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5154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5154-1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стимулювання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детінізації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добровільного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належних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активів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одноразового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01-01/240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Я.Железняка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Ю.Арістов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2713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2713-1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2713-2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2713-3</w:t>
            </w:r>
          </w:p>
          <w:p w:rsidR="00314537" w:rsidRPr="005279AE" w:rsidRDefault="00314537" w:rsidP="00376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2713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азартних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ігор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О.Марусяка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Д.Наталухи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–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17.01.2020,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О.Дубінського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–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27.01.2020,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А.Дубнова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–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27.01.2020,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02.03.2020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друге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3742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окремих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габаритно-вагового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Ю.Кісєля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30.06.2020)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Ю.Кісєль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03B3B">
              <w:rPr>
                <w:rFonts w:ascii="Times New Roman" w:hAnsi="Times New Roman"/>
                <w:i/>
              </w:rPr>
              <w:t>повторне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перше</w:t>
            </w:r>
            <w:r w:rsidR="003762E0" w:rsidRPr="00603B3B">
              <w:rPr>
                <w:rFonts w:ascii="Times New Roman" w:hAnsi="Times New Roman"/>
                <w:i/>
              </w:rPr>
              <w:t xml:space="preserve"> </w:t>
            </w:r>
            <w:r w:rsidRPr="00603B3B">
              <w:rPr>
                <w:rFonts w:ascii="Times New Roman" w:hAnsi="Times New Roman"/>
                <w:i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76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2805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аграрні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розписки"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інших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функціонування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обігу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аграрних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розписок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(повторне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19.11.2020)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14.05.2020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15795/0/2-20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19.05.2020)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пестициди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агрохімікати"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ввезення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пестицидів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митну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територію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О.Тарасова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24.10.2019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)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09.02.2021)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4651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декларування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недостовірної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інформації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неподання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суб'єктом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декларування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декларації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особи,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функцій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місцевого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27.01.2021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01-01/27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повторне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розроблення,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прийняття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авіаційних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правил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18.06.2020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20186/0/2-20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22.06.2020)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25.03.2021)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Ю.Кісєль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3236-1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Декрету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Кабінету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“Про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мито”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приведення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відповідність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розміру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ставок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деякі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нотаріальні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Д.Гетманцева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10.04.2020)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FF0000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5094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галузі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зовнішньої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реклами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О.Кондратюк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22.02.2021)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інтересів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дитини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затримання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або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тримання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вартою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батьків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Ю.Яцик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11.06.2020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23.11.2020)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5304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Державний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рік"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збільшення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видатків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правосуддя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місцевими,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апеляційними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судами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С.Демченка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29.03.2021)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25.05.2021)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Ю.Арістов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валюту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валютні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стимулювання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детінізації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добровільного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належних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активів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одноразового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25.02.2021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01-01/240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02.03.2021)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20.05.2021)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стимулювання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детінізації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добровільного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належних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активів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одноразового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25.02.2021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01-01/240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02.03.2021)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5309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публічні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закупівлі"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інших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системи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оскарження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публічних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Р.Підласої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31.03.2021)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4107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незалежності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телебачення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радіомовлення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М.Потураєва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21.09.2020)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18.03.2021)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землеустрій"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уніфікації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документації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землеустрою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42102/0/2-20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Гарантійного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фонду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зобов'язань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складськими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документами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зерно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14.01.2021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1009/0/2-21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16.01.2021)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насінництва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розсадництва,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також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додержання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біологічної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генетичної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сільськогосподарських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рослин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42905/0/2-20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ідентифікації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реєстрації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сільськогосподарських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тварин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П.Юрчишина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20.11.2020)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товари,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підпадають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різні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товарні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підпозиції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згідно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УКТЗЕД,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Європейського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Союзу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42213/0/2-20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22.12.2020)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5161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5161-1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нестандартних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форм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зайнятості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25.02.2021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6126/0/2-21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прокуратуру"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ефективності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прокуратури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В.Неклюдова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18.02.2020)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5420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B7"/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процесуального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криміналізації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контрабанди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підакцизних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товарів,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також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недостовірного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декларування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23.04.2021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01-01/383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29.04.2021)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гвардію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ідентифікації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військовослужбовців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гвардії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завдань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О.Устінової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25.06.2020)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7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географічні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пов'язаної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встановленням,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унормуванням,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обліком,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реєстрацією,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використанням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збереженням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географічних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10.09.2020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31071/0/2-20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15.09.2020)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звіт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слідчої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розслідування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причин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виникнення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році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масштабних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пожеж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дій/бездіяльності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управління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надзвичайних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ситуацій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військово-цивільної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вчасного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реагування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виникнення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недопущення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виникнення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надзвичайного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характеру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Р.Горбенка)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Р.Горбенко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(п'ятниця)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10.00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Година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запитань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Уряду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Урядом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Постанови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Верховної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"Про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стан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дітей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невідкладні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заходи,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спрямовані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дитини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в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Україні"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усунення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суперечностей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уточнення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лізингової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(орендної)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Е.Рєпіної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11.06.2020)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09.04.2021)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FF0000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5250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статті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вчинення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іноземців,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користуються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імунітетом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В.Медяника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19.03.2021)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спостерігання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полюванням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О.Дубінського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1297"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виробництва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обігу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спирту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етилового,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коньячного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плодового,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алкогольних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напоїв,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тютюнових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виробів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пального"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ліцензування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суб’єктів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господарювання,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здійснюють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виробництво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спирту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етилового)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Д.Гетманцева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21.07.2020)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162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ресторанного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господарства)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С.Тарути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16.09.2020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товарів,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переміщуються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(пересилаються)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міжнародних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поштових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експрес-відправленнях)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О.Сови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04.11.2020)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4279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оподаткування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митними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платежами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товарів,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переміщуються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(пересилаються)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міжнародних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поштових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відправленнях,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міжнародних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експрес-відправленнях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декларування)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О.Сови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04.11.2020)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Статут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охорони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Національною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гвардією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ядерних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установок,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ядерних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матеріалів,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радіоактивних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відходів,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інших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джерел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іонізуючого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випромінювання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власності,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важливих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державних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об'єктів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спеціальних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вантажів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30.07.2020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26292/0/2-20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03.08.2020)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3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публічні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закупівлі"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спрощення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організації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проведення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закупівель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сільськими,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селищними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радами,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міськими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територіальними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громадами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Б.Приходька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23.03.2021)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lang w:eastAsia="ru-RU"/>
              </w:rPr>
              <w:t>***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5286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встановлення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Всеукраїнського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людини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С.Бобровської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23.03.2021)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kern w:val="16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утворення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слідчої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виявлення,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систематизації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розслідування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можливих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зловживань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аграрних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підприємствах,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установах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організаціях,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належать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(належали)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управління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Міністерства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аграрної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політики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продовольства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(Міністерства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розвитку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економіки,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торгівлі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сільського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академії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аграрних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С.Чернявського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19.11.2019)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spacing w:val="-4"/>
                <w:lang w:eastAsia="ru-RU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самоврядування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Україні"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прозорості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відкритості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оприлюднення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результатів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поіменних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голосувань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В.Цабаля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28.10.2020)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73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М.Бардіної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31.10.2020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09.09.2020)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“Про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гуманітарну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допомогу”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М.Лаби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26.05.2020)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5279AE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платіжні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послуги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О.Василевської</w:t>
            </w:r>
            <w:proofErr w:type="spellEnd"/>
            <w:r w:rsidRPr="00603B3B">
              <w:rPr>
                <w:rFonts w:ascii="Times New Roman" w:hAnsi="Times New Roman"/>
                <w:sz w:val="24"/>
                <w:szCs w:val="24"/>
              </w:rPr>
              <w:t>-Смаглюк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16.11.2020)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19.05.2021)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повторне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Установу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бізнес-омбудсмена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(повторне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Д.Кисилевського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11.06.2020;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доопрацьований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spacing w:before="40" w:after="40" w:line="228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Різне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Пленарний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тиждень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15-18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15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(вівторок)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4636-1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"Про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Статут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гарнізонної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вартової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служб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Збройних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Сил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України"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військового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поховального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ритуалу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А.Остапенка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11.02.2021)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2786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2786-1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підприємств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оборонно-промислового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комплексу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Р.Підласої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М.Павлюка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4582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4582-1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відкритості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роботи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самоврядування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В.В'ятровича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15.01.2021,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Т.Плачкової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22.01.2021)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публічні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закупівлі"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створення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передумов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сталого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розвитку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модернізації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вітчизняної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промисловості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Наталухи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30.06.2020)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03.02.2021)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захищеності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інвалідністю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(02.07.2020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22116/0/2-20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06.07.2020)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16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(середа)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5178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5178-1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законопроектної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роботи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Р.Стефанчука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Ю.Тимошенко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С.Кальченко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підвідомості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виникають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земельних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відносин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нерухомого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майна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Р.Бабія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03.04.2020)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пестициди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агрохімікати"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вимог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маркування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пестицидів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агрохімікатів"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Д.Соломчука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5274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5274-1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розвиток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бджільництва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бджіл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В.Івченка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23.03.2021,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М.Нікітіної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31.03.2021)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механізму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протидії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рейдерству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Г.Янченко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07.07.2020)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скороченням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підготовки)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17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(четвер)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1276"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5253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5253-1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політичні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партії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Україні"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зупинення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припинення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фінансування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статутної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політичної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партії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О.Корнієнка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17.03.2021,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О.Устінової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01.04.2021)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збір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обов’язкове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пенсійне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обов’язкове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пенсійне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ювелірних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виробів)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М.Стефанчука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25.01.2021)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3205-2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Фонд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гарантування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кредитів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сільському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господарстві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А.Чорноморова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27.05.2020)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11.05.2021)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18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lang w:eastAsia="ru-RU"/>
              </w:rPr>
              <w:t>(п'ятниця)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10.00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>Година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>запитань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b/>
                <w:i/>
                <w:noProof/>
                <w:spacing w:val="-4"/>
                <w:sz w:val="24"/>
                <w:szCs w:val="24"/>
                <w:lang w:eastAsia="ru-RU"/>
              </w:rPr>
              <w:t>Уряду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423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стимулювання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детінізації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податкової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громадян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добровільного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декларування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належних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їм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активів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одноразового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збору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25.02.2021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01-01/240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02.03.2021)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Різне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Пленарний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тиждень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29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червня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2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липня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прийняття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рішення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bookmarkStart w:id="2" w:name="тут_1"/>
            <w:bookmarkEnd w:id="2"/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скасування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адвокатської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монополії)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29.08.2019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01-01/702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31.08.2019,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попередньо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схвалено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зменшення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закріплення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пропорційної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виборчої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системи)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29.08.2019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01-01/696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31.08.2019,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попередньо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схвалено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04.02.2020)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85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Конституції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консультативних,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дорадчих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інших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допоміжних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29.08.2019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01-01/698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31.08.2019,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попередньо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схвалено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96"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Звернення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Верховної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Бундестагу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Федеративної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Республіки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Німеччина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визнання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Голодомору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1932-1933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геноцидом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народу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поданням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Комітету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10.02.2021)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О.Мережко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перше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бджільництва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небезпечних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робіт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Л.Василенко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4554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сфері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дитячого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харчування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вимог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М.Мезенцевої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04.01.2021)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насіння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садивний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матеріал"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14.01.2021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1012/0/2-21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16.01.2021)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телебачення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радіомовлення"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протидії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інформаційній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війні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О.Дунди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Постанови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60-річчя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першого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польоту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людини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космос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(12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квітня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року)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М.Потураєва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М.Потураєв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2360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2360-1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хутрового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виробництва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С.Литвиненка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05.11.2019,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О.Тарасова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19.11.2019)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118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цивільного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підвищення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розмірів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грошової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допомоги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особам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рядового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начальницького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цивільного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Ю.Тимошенко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території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Смарагдової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мережі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Ю.Овчинникової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реєстрацію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юридичних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фізичних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осіб-підприємців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громадських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формувань"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спрощення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реєстрації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об'єднань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співвласників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багатоквартирного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будинку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С.Мінька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03.12.2019)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період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антитерористичної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Д.Наталухи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21.01.2020)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завершенням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антитерористичної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Об'єднаних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сил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О.Тарасова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21.01.2020)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оренду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комунального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майна"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розташування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технічних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засобів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телекомунікацій)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Р.Підласої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04.05.2020)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перелік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об'єктів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власності,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підлягають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приватизації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02.09.2020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30082/0/2-20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прозорості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видобувних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галузях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А.Жупанина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07.07.2020)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розділу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XVII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"Прикінцеві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перехідні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ринок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електричної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енергії"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подовження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повноважень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Регулятора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О.Кучеренка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3710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прикінцевих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перехідних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метою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укладання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трудових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договорів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керівниками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комунальних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закладів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середньої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Д.Костюка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24.06.2020)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середню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узгодження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положень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Р.Павленка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09.07.2020)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вищу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особливостей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вступу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закладів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вищої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окремих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категорій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Р.Павленка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3895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3895-1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базової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зарплатні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педагогів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рівні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трьох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мінімальних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заробітних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кваліфікацію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стаж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педагогів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М.Заремського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21.07.2020,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03.08.2020)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4021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4021-1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додаткового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фінансового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педагогічних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науково-педагогічних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період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карантину,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установленого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Кабінетом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метою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запобігання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поширенню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території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коронавірусної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(COVID-19)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Р.Павленка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08.09.2020,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вищу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усунення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перешкод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навчанню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студентів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державним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замовленням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О.Кулініча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4374</w:t>
            </w:r>
          </w:p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4374-1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4374-2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розширення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освітніх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пільг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медичних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працівників,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померли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внаслідок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захворювання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короновірусною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хворобою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(COVID-19)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професійних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обов’язків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Т.Батенка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17.11.2020,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О.Дубінського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17.11.2020,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С.Бабак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прокуратуру"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перерахунок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пенсій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працівникам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прокуратури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М.Павлюка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17.04.2020)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уточнення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особливостей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оплати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прокурорів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М.Павлюка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адміністративні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правопорушення,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законодавства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Служби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розвідувальних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С.Іонушаса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20.11.2020)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встановлення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порушення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вимог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санкційного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режиму,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діючого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національної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безпеки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територіальної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цілісності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Д.Монастирського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4324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процесуального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застосування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засуджених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тримаються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вартою,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примусового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годування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05.11.2020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37234/0/2-20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09.11.2020)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заходи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платоспроможності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підприємств,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провадили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господарську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окупованих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територіях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Донецькій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Луганській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областях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М.Ткаченка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08.11.2019)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Д.Лубінець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правовий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статус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зниклих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безвісти"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А.Остапенка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Д.Лубінець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2743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2743-1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ефективності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використання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коштів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Г.Третьякової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3115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3115-1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загальнообов'язкове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випадок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безробіття"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Г.Третьякової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28.02.2020,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20.03.2020)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загальнообов’язкове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(нова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редакція)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інших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М.Папієва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4285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4285-1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2E0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соціального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похилого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29.10.2020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36435/0/2-20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04.11.2020,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Н.Королевської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–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20.11.2020)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підтримки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волонтерської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(вiд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18.12.2020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42219/0/2-20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5219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5219-1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критичну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інфраструктуру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О.Федієнка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11.03.2021,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Уряду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17.03.2021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8551/0/2-21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23.03.2021)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5052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Кабінету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Міністрів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невластивих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повноважень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09.02.2021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3964/0/2-21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11.02.2021)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4365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платіжних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послуг)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О.Василевської-Смаглюк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16.11.2020)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4551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порушення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законодавства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автомобільних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доріг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28.12.2020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43034/0/2-20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30.12.2020)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2165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процесуального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порядку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обвинувачення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суді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М.Дирдіна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25.09.2019)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5011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іноземних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інвестицій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суб'єкти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господарювання,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мають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03.02.2021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3136/0/2-21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05.02.2021)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3800</w:t>
            </w:r>
          </w:p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3800-1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2E0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</w:p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України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ринок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природного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газу"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фінансової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стабільності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ринку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природного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газу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н.д.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А.Жупанина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08.07.2020,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н.д.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О.Кучеренка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21.07.2020)</w:t>
            </w:r>
          </w:p>
        </w:tc>
        <w:tc>
          <w:tcPr>
            <w:tcW w:w="2138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5129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Постанови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імплементацію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Національного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скорочення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викидів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великих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спалювальних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установок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н.д.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Л.Василенко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24.02.2021)</w:t>
            </w:r>
          </w:p>
        </w:tc>
        <w:tc>
          <w:tcPr>
            <w:tcW w:w="2138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3057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603B3B" w:rsidRDefault="00314537" w:rsidP="00314537">
            <w:pPr>
              <w:pStyle w:val="Tabl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Закону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Національне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агентство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України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питань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подолання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наслідків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збройної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агресії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Російської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Федерації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(проект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н.д.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Л.Василенко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надано</w:t>
            </w:r>
            <w:r w:rsidR="003762E0"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B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18.02.2020)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5279AE">
              <w:rPr>
                <w:rFonts w:ascii="Times New Roman" w:hAnsi="Times New Roman"/>
                <w:i/>
                <w:lang w:val="uk-UA"/>
              </w:rPr>
              <w:t>повторне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color w:val="FF0000"/>
                <w:lang w:val="uk-UA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  <w:trHeight w:val="212"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lang w:val="uk-UA"/>
              </w:rPr>
            </w:pPr>
            <w:r w:rsidRPr="005279AE">
              <w:rPr>
                <w:rFonts w:ascii="Times New Roman" w:hAnsi="Times New Roman"/>
                <w:lang w:val="uk-UA"/>
              </w:rPr>
              <w:t>5202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lang w:val="uk-UA"/>
              </w:rPr>
            </w:pPr>
            <w:r w:rsidRPr="005279AE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організації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водокористувачів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та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стимулювання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гідротехнічної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меліорації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земель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(повторне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перше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А.Чорноморова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11.03.2021,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доопрацьований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Комітетом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одержано</w:t>
            </w:r>
            <w:r w:rsidR="003762E0" w:rsidRPr="005279A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lang w:val="uk-UA"/>
              </w:rPr>
              <w:t>25.05.2021)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lang w:val="uk-UA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i/>
                <w:noProof/>
                <w:lang w:eastAsia="ru-RU"/>
              </w:rPr>
              <w:t>читання</w:t>
            </w:r>
          </w:p>
        </w:tc>
        <w:tc>
          <w:tcPr>
            <w:tcW w:w="2138" w:type="dxa"/>
            <w:shd w:val="clear" w:color="auto" w:fill="FFFFFF"/>
          </w:tcPr>
          <w:p w:rsidR="00314537" w:rsidRPr="005279AE" w:rsidRDefault="00314537" w:rsidP="003145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засади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антикорупційної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політики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2020-2024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(18.09.2020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32163/0/2-20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23.09.2020)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(друге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читання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із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скороченням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строку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підготовки)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17.05.2021)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А.Радіна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стимулювання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фермерських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господарств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03.09.2020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30334/0/2-20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08.09.2020)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15.04.2021)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М.Сольський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Водного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уточнення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переліку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первинних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водокористувачів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О.Криворучкіної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12.08.2020)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12.04.2021)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охорону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атмосферного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повітря"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регулювання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господарської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озоноруйнівними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речовинами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фторованими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парниковими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газами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23.10.2020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35800/0/2-20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28.10.2020)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08.04.2021)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банкрутства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заходів,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спрямованих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  <w:lang w:eastAsia="ru-RU"/>
              </w:rPr>
              <w:t>погашення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заборгованості,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що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утворилася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оптовому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ринку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електричної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енергії)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Ю.Камельчука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08.11.2019,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(повторне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Д.Наталуха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енергетичну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ефективність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С.Нагорняка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21.12.2020)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А.Герус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Житлового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кодексу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Української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РСР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позачергового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житлом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осіб,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взяті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облік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січня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1993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проживають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житлі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тимчасового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О.Літвінова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19.11.2019)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30.03.2021)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3757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Кабінет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Спеціальної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контрольної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комісії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питань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приватизації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30.06.2020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21637/0/2-20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02.07.2020)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А.Клочко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3360-1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усунення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розбіжностей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осучаснення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реалізації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майна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іпотеці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виконавчому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провадженні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І.Фріса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04.05.2020)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27.04.2021)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вдосконалення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утворення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третейських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судів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метою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відновлення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довіри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третейського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розгляду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28.04.2020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14296/0/2-20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04.05.2020)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медіацію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19.05.2020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16417/0/2-20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21.05.2020)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судоустрій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статус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суддів"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зв'язку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запровадженням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обліку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трудової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діяльності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працівника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формі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10.06.2020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18921/0/2-20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12.06.2020)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виконання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рішень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Європейського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людини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03.09.2020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№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30292/0/2-20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08.09.2020)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судоустрій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статус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суддів"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Вищу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раду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правосуддя"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завершення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процедур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зайняття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посад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Д.Маслова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21.10.2020)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А.Костін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визначення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підслідності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кримінальних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правопорушень,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досудове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розслідування,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здійснюють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слідчі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державного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розслідувань)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С.Іонушаса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11.12.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2019)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(надано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таблицю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09.03.2021)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деяких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законодавчих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посилення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відповідальності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незаконне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видобування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корисних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копалин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П.Якименка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05.06.2020)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захист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трудових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мігрантів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боротьбу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шахрайством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працевлаштуванні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кордон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н.д.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Г.Третьякової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надано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05.11.2019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Г.Третьякова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1214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92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змін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"Про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масштабної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експансії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експорту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товарів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(робіт,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послуг)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українського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походження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шляхом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страхування,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гарантування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здешевлення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кредитування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експорту"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щодо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забезпечення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ефективного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функціонування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експортно-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кредитного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агентства</w:t>
            </w:r>
            <w:r w:rsidR="003762E0"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(друге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читання)</w:t>
            </w:r>
            <w:r w:rsidR="003762E0" w:rsidRPr="005279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9AE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  <w:t>(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н.д.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rFonts w:ascii="Times New Roman" w:hAnsi="Times New Roman"/>
                <w:sz w:val="24"/>
                <w:szCs w:val="24"/>
              </w:rPr>
              <w:t>Б.Приходька</w:t>
            </w:r>
            <w:proofErr w:type="spellEnd"/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надано</w:t>
            </w:r>
            <w:r w:rsidR="003762E0" w:rsidRPr="0060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3B">
              <w:rPr>
                <w:rFonts w:ascii="Times New Roman" w:hAnsi="Times New Roman"/>
                <w:sz w:val="24"/>
                <w:szCs w:val="24"/>
              </w:rPr>
              <w:t>07.07.2020)</w:t>
            </w:r>
          </w:p>
        </w:tc>
        <w:tc>
          <w:tcPr>
            <w:tcW w:w="2138" w:type="dxa"/>
            <w:shd w:val="clear" w:color="auto" w:fill="FFFFFF"/>
            <w:hideMark/>
          </w:tcPr>
          <w:p w:rsidR="00314537" w:rsidRPr="005279AE" w:rsidRDefault="00314537" w:rsidP="0031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5279A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Д.Гетманцев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4407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об'єктів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підвищеної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небезпеки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(вiд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19.11.2020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38782/0/2-20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23.11.2020)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О.Бондаренко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3822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оборонно-промислового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комплексу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державної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форми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власності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І.Копитіна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заміну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22.12.2020)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О.Завітневич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2694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світлоповертальних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елементів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пішоходами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О.Бакумова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03.01.2020)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18.12.2020)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  <w:tr w:rsidR="00314537" w:rsidRPr="00603B3B" w:rsidTr="00F33D59">
        <w:tblPrEx>
          <w:shd w:val="clear" w:color="auto" w:fill="FFFFFF"/>
        </w:tblPrEx>
        <w:trPr>
          <w:cantSplit/>
        </w:trPr>
        <w:tc>
          <w:tcPr>
            <w:tcW w:w="1133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2696</w:t>
            </w:r>
          </w:p>
        </w:tc>
        <w:tc>
          <w:tcPr>
            <w:tcW w:w="12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792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змін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деяких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актів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світлоповертальних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елементів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учасниками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дорожнього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руху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(друге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читання)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(проект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н.д.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О.Бакумова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03.01.2020)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(надано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таблицю</w:t>
            </w:r>
            <w:r w:rsidR="003762E0" w:rsidRPr="00527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79AE">
              <w:rPr>
                <w:rFonts w:ascii="Times New Roman" w:hAnsi="Times New Roman"/>
                <w:sz w:val="24"/>
                <w:szCs w:val="24"/>
                <w:lang w:val="uk-UA"/>
              </w:rPr>
              <w:t>13.01.2021)</w:t>
            </w:r>
          </w:p>
        </w:tc>
        <w:tc>
          <w:tcPr>
            <w:tcW w:w="2138" w:type="dxa"/>
          </w:tcPr>
          <w:p w:rsidR="00314537" w:rsidRPr="005279AE" w:rsidRDefault="00314537" w:rsidP="00314537">
            <w:pPr>
              <w:pStyle w:val="Table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27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Д.Монастирський</w:t>
            </w:r>
          </w:p>
        </w:tc>
      </w:tr>
    </w:tbl>
    <w:p w:rsidR="00F33D59" w:rsidRDefault="00F33D59" w:rsidP="00ED4E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276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7"/>
        <w:gridCol w:w="160"/>
        <w:gridCol w:w="606"/>
        <w:gridCol w:w="160"/>
        <w:gridCol w:w="7496"/>
      </w:tblGrid>
      <w:tr w:rsidR="00F33D59" w:rsidTr="00F33D59">
        <w:tc>
          <w:tcPr>
            <w:tcW w:w="2620" w:type="dxa"/>
            <w:gridSpan w:val="4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Умовні</w:t>
            </w:r>
          </w:p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позначення:</w:t>
            </w:r>
          </w:p>
        </w:tc>
        <w:tc>
          <w:tcPr>
            <w:tcW w:w="160" w:type="dxa"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D59" w:rsidTr="00F33D59">
        <w:tc>
          <w:tcPr>
            <w:tcW w:w="1627" w:type="dxa"/>
            <w:hideMark/>
          </w:tcPr>
          <w:p w:rsidR="00F33D59" w:rsidRDefault="00F33D59" w:rsidP="001F4A16">
            <w:pPr>
              <w:spacing w:after="0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П</w:t>
            </w:r>
          </w:p>
        </w:tc>
        <w:tc>
          <w:tcPr>
            <w:tcW w:w="227" w:type="dxa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-</w:t>
            </w:r>
          </w:p>
        </w:tc>
        <w:tc>
          <w:tcPr>
            <w:tcW w:w="160" w:type="dxa"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8262" w:type="dxa"/>
            <w:gridSpan w:val="3"/>
            <w:hideMark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законопроекти, внесені Президентом України</w:t>
            </w:r>
          </w:p>
        </w:tc>
      </w:tr>
      <w:tr w:rsidR="00F33D59" w:rsidTr="00F33D59">
        <w:tc>
          <w:tcPr>
            <w:tcW w:w="1627" w:type="dxa"/>
            <w:hideMark/>
          </w:tcPr>
          <w:p w:rsidR="00F33D59" w:rsidRDefault="00F33D59" w:rsidP="001F4A16">
            <w:pPr>
              <w:spacing w:after="0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У</w:t>
            </w:r>
          </w:p>
        </w:tc>
        <w:tc>
          <w:tcPr>
            <w:tcW w:w="227" w:type="dxa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-</w:t>
            </w:r>
          </w:p>
        </w:tc>
        <w:tc>
          <w:tcPr>
            <w:tcW w:w="160" w:type="dxa"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8262" w:type="dxa"/>
            <w:gridSpan w:val="3"/>
            <w:hideMark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законопроекти, внесені Кабінетом Міністрів України</w:t>
            </w:r>
          </w:p>
        </w:tc>
      </w:tr>
      <w:tr w:rsidR="00F33D59" w:rsidTr="00F33D59">
        <w:tc>
          <w:tcPr>
            <w:tcW w:w="1627" w:type="dxa"/>
            <w:hideMark/>
          </w:tcPr>
          <w:p w:rsidR="00F33D59" w:rsidRDefault="00F33D59" w:rsidP="001F4A16">
            <w:pPr>
              <w:spacing w:after="0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Д</w:t>
            </w:r>
          </w:p>
        </w:tc>
        <w:tc>
          <w:tcPr>
            <w:tcW w:w="227" w:type="dxa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-</w:t>
            </w:r>
          </w:p>
        </w:tc>
        <w:tc>
          <w:tcPr>
            <w:tcW w:w="160" w:type="dxa"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8262" w:type="dxa"/>
            <w:gridSpan w:val="3"/>
            <w:hideMark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законопроекти, внесені народними депутатами України</w:t>
            </w:r>
          </w:p>
        </w:tc>
      </w:tr>
      <w:tr w:rsidR="00F33D59" w:rsidTr="00F33D59">
        <w:tc>
          <w:tcPr>
            <w:tcW w:w="1627" w:type="dxa"/>
            <w:hideMark/>
          </w:tcPr>
          <w:p w:rsidR="00F33D59" w:rsidRDefault="00F33D59" w:rsidP="001F4A16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sym w:font="Symbol" w:char="F0B7"/>
            </w:r>
          </w:p>
        </w:tc>
        <w:tc>
          <w:tcPr>
            <w:tcW w:w="227" w:type="dxa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0" w:type="dxa"/>
          </w:tcPr>
          <w:p w:rsidR="00F33D59" w:rsidRDefault="00F33D59" w:rsidP="001F4A1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8262" w:type="dxa"/>
            <w:gridSpan w:val="3"/>
            <w:hideMark/>
          </w:tcPr>
          <w:p w:rsidR="00F33D59" w:rsidRDefault="00F33D59" w:rsidP="001F4A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законопроекти, визначені Президентом України невідкладними</w:t>
            </w:r>
          </w:p>
        </w:tc>
      </w:tr>
    </w:tbl>
    <w:p w:rsidR="00F33D59" w:rsidRDefault="00F33D59" w:rsidP="00F33D59">
      <w:pPr>
        <w:spacing w:after="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Апарат Верховної Ради України</w:t>
      </w:r>
    </w:p>
    <w:p w:rsidR="00F33D59" w:rsidRPr="005279AE" w:rsidRDefault="00F33D59" w:rsidP="00ED4E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F33D59" w:rsidRPr="005279AE" w:rsidSect="001A001C">
      <w:headerReference w:type="default" r:id="rId7"/>
      <w:pgSz w:w="11906" w:h="16838"/>
      <w:pgMar w:top="907" w:right="284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C1" w:rsidRDefault="00B50EC1">
      <w:pPr>
        <w:spacing w:after="0" w:line="240" w:lineRule="auto"/>
      </w:pPr>
      <w:r>
        <w:separator/>
      </w:r>
    </w:p>
  </w:endnote>
  <w:endnote w:type="continuationSeparator" w:id="0">
    <w:p w:rsidR="00B50EC1" w:rsidRDefault="00B5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uturisExtra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C1" w:rsidRDefault="00B50EC1">
      <w:pPr>
        <w:spacing w:after="0" w:line="240" w:lineRule="auto"/>
      </w:pPr>
      <w:r>
        <w:separator/>
      </w:r>
    </w:p>
  </w:footnote>
  <w:footnote w:type="continuationSeparator" w:id="0">
    <w:p w:rsidR="00B50EC1" w:rsidRDefault="00B5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F5" w:rsidRDefault="00F016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001C" w:rsidRPr="001A001C">
      <w:rPr>
        <w:noProof/>
        <w:lang w:val="uk-UA"/>
      </w:rPr>
      <w:t>21</w:t>
    </w:r>
    <w:r>
      <w:fldChar w:fldCharType="end"/>
    </w:r>
  </w:p>
  <w:p w:rsidR="00F016F5" w:rsidRDefault="00F016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F6"/>
    <w:rsid w:val="0001533D"/>
    <w:rsid w:val="00023D80"/>
    <w:rsid w:val="0003122A"/>
    <w:rsid w:val="00050D26"/>
    <w:rsid w:val="000532BF"/>
    <w:rsid w:val="000571FA"/>
    <w:rsid w:val="00063638"/>
    <w:rsid w:val="000944C7"/>
    <w:rsid w:val="00095214"/>
    <w:rsid w:val="000C4691"/>
    <w:rsid w:val="00113E8F"/>
    <w:rsid w:val="001244B2"/>
    <w:rsid w:val="001262EB"/>
    <w:rsid w:val="00130553"/>
    <w:rsid w:val="00131282"/>
    <w:rsid w:val="001471AA"/>
    <w:rsid w:val="00153221"/>
    <w:rsid w:val="00161B06"/>
    <w:rsid w:val="00181F91"/>
    <w:rsid w:val="001A001C"/>
    <w:rsid w:val="001B78FC"/>
    <w:rsid w:val="001D5DFB"/>
    <w:rsid w:val="001F4A16"/>
    <w:rsid w:val="002001DD"/>
    <w:rsid w:val="00210D3E"/>
    <w:rsid w:val="00210FE4"/>
    <w:rsid w:val="00216129"/>
    <w:rsid w:val="00216FC8"/>
    <w:rsid w:val="00220490"/>
    <w:rsid w:val="00221A6B"/>
    <w:rsid w:val="00231951"/>
    <w:rsid w:val="00257039"/>
    <w:rsid w:val="00281055"/>
    <w:rsid w:val="00291B95"/>
    <w:rsid w:val="002B3739"/>
    <w:rsid w:val="002C074F"/>
    <w:rsid w:val="002E16FC"/>
    <w:rsid w:val="00306A01"/>
    <w:rsid w:val="00314537"/>
    <w:rsid w:val="003145AE"/>
    <w:rsid w:val="00317912"/>
    <w:rsid w:val="003251B9"/>
    <w:rsid w:val="0036774B"/>
    <w:rsid w:val="003762E0"/>
    <w:rsid w:val="0039376C"/>
    <w:rsid w:val="003B6E51"/>
    <w:rsid w:val="003B75FB"/>
    <w:rsid w:val="003C7E89"/>
    <w:rsid w:val="003C7FA4"/>
    <w:rsid w:val="003D2643"/>
    <w:rsid w:val="003E6B02"/>
    <w:rsid w:val="004158C1"/>
    <w:rsid w:val="004212B1"/>
    <w:rsid w:val="00421F9A"/>
    <w:rsid w:val="00435881"/>
    <w:rsid w:val="00436842"/>
    <w:rsid w:val="004714C7"/>
    <w:rsid w:val="00484035"/>
    <w:rsid w:val="00494739"/>
    <w:rsid w:val="004A7082"/>
    <w:rsid w:val="004B0B8D"/>
    <w:rsid w:val="004D5466"/>
    <w:rsid w:val="004E72F4"/>
    <w:rsid w:val="004F6EE4"/>
    <w:rsid w:val="0052584A"/>
    <w:rsid w:val="005279AE"/>
    <w:rsid w:val="00542DDA"/>
    <w:rsid w:val="00557CC2"/>
    <w:rsid w:val="005665C4"/>
    <w:rsid w:val="00570C7B"/>
    <w:rsid w:val="00572530"/>
    <w:rsid w:val="005A693F"/>
    <w:rsid w:val="005A7C6C"/>
    <w:rsid w:val="005E0B47"/>
    <w:rsid w:val="006004F9"/>
    <w:rsid w:val="006017D9"/>
    <w:rsid w:val="00603B3B"/>
    <w:rsid w:val="00604845"/>
    <w:rsid w:val="00614D52"/>
    <w:rsid w:val="006565E4"/>
    <w:rsid w:val="0066461C"/>
    <w:rsid w:val="006655A9"/>
    <w:rsid w:val="006665C7"/>
    <w:rsid w:val="00693876"/>
    <w:rsid w:val="006F754B"/>
    <w:rsid w:val="00712387"/>
    <w:rsid w:val="00751271"/>
    <w:rsid w:val="00754F07"/>
    <w:rsid w:val="00772D65"/>
    <w:rsid w:val="007B1A27"/>
    <w:rsid w:val="007D78B3"/>
    <w:rsid w:val="007E2AA6"/>
    <w:rsid w:val="007E493C"/>
    <w:rsid w:val="008020A5"/>
    <w:rsid w:val="00805D29"/>
    <w:rsid w:val="0081698D"/>
    <w:rsid w:val="008317F6"/>
    <w:rsid w:val="00835FB2"/>
    <w:rsid w:val="00855E50"/>
    <w:rsid w:val="008634F7"/>
    <w:rsid w:val="008E6F19"/>
    <w:rsid w:val="008E7D53"/>
    <w:rsid w:val="008F7081"/>
    <w:rsid w:val="0090357F"/>
    <w:rsid w:val="00907A16"/>
    <w:rsid w:val="00912471"/>
    <w:rsid w:val="00921A7C"/>
    <w:rsid w:val="0093705B"/>
    <w:rsid w:val="009731F7"/>
    <w:rsid w:val="00981925"/>
    <w:rsid w:val="0099501F"/>
    <w:rsid w:val="009C64CD"/>
    <w:rsid w:val="009C79FA"/>
    <w:rsid w:val="009E702A"/>
    <w:rsid w:val="009F5A48"/>
    <w:rsid w:val="009F63DB"/>
    <w:rsid w:val="00A02220"/>
    <w:rsid w:val="00A065CB"/>
    <w:rsid w:val="00A1082A"/>
    <w:rsid w:val="00A21FB1"/>
    <w:rsid w:val="00A468E0"/>
    <w:rsid w:val="00A66906"/>
    <w:rsid w:val="00A67472"/>
    <w:rsid w:val="00A83D59"/>
    <w:rsid w:val="00A875FC"/>
    <w:rsid w:val="00A951E9"/>
    <w:rsid w:val="00A9535E"/>
    <w:rsid w:val="00A96198"/>
    <w:rsid w:val="00A9773C"/>
    <w:rsid w:val="00AA0A74"/>
    <w:rsid w:val="00AA3288"/>
    <w:rsid w:val="00AB11EC"/>
    <w:rsid w:val="00AB41E2"/>
    <w:rsid w:val="00AB6715"/>
    <w:rsid w:val="00AD1137"/>
    <w:rsid w:val="00B159F7"/>
    <w:rsid w:val="00B308C1"/>
    <w:rsid w:val="00B50EC1"/>
    <w:rsid w:val="00B62AA1"/>
    <w:rsid w:val="00B74F36"/>
    <w:rsid w:val="00B81760"/>
    <w:rsid w:val="00BB4D82"/>
    <w:rsid w:val="00BB53DD"/>
    <w:rsid w:val="00BB733B"/>
    <w:rsid w:val="00C01179"/>
    <w:rsid w:val="00C02F2C"/>
    <w:rsid w:val="00C073C3"/>
    <w:rsid w:val="00C24559"/>
    <w:rsid w:val="00C47FBF"/>
    <w:rsid w:val="00C70547"/>
    <w:rsid w:val="00C73D08"/>
    <w:rsid w:val="00C80B4D"/>
    <w:rsid w:val="00C942C2"/>
    <w:rsid w:val="00CC18AF"/>
    <w:rsid w:val="00CD24B1"/>
    <w:rsid w:val="00CE30DC"/>
    <w:rsid w:val="00CE43D9"/>
    <w:rsid w:val="00D015E5"/>
    <w:rsid w:val="00D017AC"/>
    <w:rsid w:val="00D14F2D"/>
    <w:rsid w:val="00D16978"/>
    <w:rsid w:val="00D213FC"/>
    <w:rsid w:val="00D3323A"/>
    <w:rsid w:val="00D567F4"/>
    <w:rsid w:val="00D62219"/>
    <w:rsid w:val="00D66ED8"/>
    <w:rsid w:val="00D72FFB"/>
    <w:rsid w:val="00D74251"/>
    <w:rsid w:val="00D825E0"/>
    <w:rsid w:val="00DB097F"/>
    <w:rsid w:val="00DC60C1"/>
    <w:rsid w:val="00E155D8"/>
    <w:rsid w:val="00E251BE"/>
    <w:rsid w:val="00E26CCD"/>
    <w:rsid w:val="00E37C0C"/>
    <w:rsid w:val="00E40594"/>
    <w:rsid w:val="00E429E3"/>
    <w:rsid w:val="00E42EB0"/>
    <w:rsid w:val="00E477F6"/>
    <w:rsid w:val="00E6586D"/>
    <w:rsid w:val="00E71CE4"/>
    <w:rsid w:val="00E96541"/>
    <w:rsid w:val="00EA0614"/>
    <w:rsid w:val="00EA0A0C"/>
    <w:rsid w:val="00EA7B84"/>
    <w:rsid w:val="00ED4E4C"/>
    <w:rsid w:val="00EE5E92"/>
    <w:rsid w:val="00EF17F0"/>
    <w:rsid w:val="00F016F5"/>
    <w:rsid w:val="00F020A3"/>
    <w:rsid w:val="00F17091"/>
    <w:rsid w:val="00F25702"/>
    <w:rsid w:val="00F33D59"/>
    <w:rsid w:val="00F4029C"/>
    <w:rsid w:val="00F70CA6"/>
    <w:rsid w:val="00FC1A92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41F4"/>
  <w15:docId w15:val="{CF3075A2-90F7-44D9-91DB-55BA1231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06A01"/>
    <w:pPr>
      <w:keepNext/>
      <w:spacing w:before="40" w:after="40" w:line="228" w:lineRule="auto"/>
      <w:jc w:val="right"/>
      <w:outlineLvl w:val="0"/>
    </w:pPr>
    <w:rPr>
      <w:rFonts w:ascii="Times New Roman" w:eastAsia="Times New Roman" w:hAnsi="Times New Roman"/>
      <w:i/>
      <w:spacing w:val="-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A01"/>
    <w:pPr>
      <w:keepNext/>
      <w:spacing w:before="40" w:after="40" w:line="228" w:lineRule="auto"/>
      <w:jc w:val="both"/>
      <w:outlineLvl w:val="1"/>
    </w:pPr>
    <w:rPr>
      <w:rFonts w:ascii="Baltica" w:eastAsia="Times New Roman" w:hAnsi="Baltica"/>
      <w:i/>
      <w:spacing w:val="2"/>
      <w:szCs w:val="20"/>
      <w:lang w:val="ru-RU" w:eastAsia="ru-RU"/>
    </w:rPr>
  </w:style>
  <w:style w:type="paragraph" w:styleId="3">
    <w:name w:val="heading 3"/>
    <w:basedOn w:val="4"/>
    <w:next w:val="a"/>
    <w:link w:val="30"/>
    <w:semiHidden/>
    <w:unhideWhenUsed/>
    <w:qFormat/>
    <w:rsid w:val="00306A01"/>
    <w:pPr>
      <w:keepLines/>
      <w:widowControl w:val="0"/>
      <w:spacing w:before="480" w:after="240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06A01"/>
    <w:pPr>
      <w:keepNext/>
      <w:spacing w:before="240" w:after="60" w:line="228" w:lineRule="auto"/>
      <w:jc w:val="both"/>
      <w:outlineLvl w:val="3"/>
    </w:pPr>
    <w:rPr>
      <w:rFonts w:ascii="Arial" w:eastAsia="Times New Roman" w:hAnsi="Arial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6A01"/>
    <w:pPr>
      <w:keepNext/>
      <w:spacing w:before="40" w:after="40" w:line="228" w:lineRule="auto"/>
      <w:jc w:val="right"/>
      <w:outlineLvl w:val="4"/>
    </w:pPr>
    <w:rPr>
      <w:rFonts w:ascii="Baltica" w:eastAsia="Times New Roman" w:hAnsi="Baltica"/>
      <w:i/>
      <w:sz w:val="23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06A01"/>
    <w:pPr>
      <w:keepNext/>
      <w:spacing w:before="40" w:after="40" w:line="228" w:lineRule="auto"/>
      <w:jc w:val="both"/>
      <w:outlineLvl w:val="5"/>
    </w:pPr>
    <w:rPr>
      <w:rFonts w:ascii="Baltica" w:eastAsia="Times New Roman" w:hAnsi="Baltica"/>
      <w:i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6A01"/>
    <w:pPr>
      <w:keepNext/>
      <w:spacing w:before="40" w:after="40" w:line="228" w:lineRule="auto"/>
      <w:jc w:val="both"/>
      <w:outlineLvl w:val="6"/>
    </w:pPr>
    <w:rPr>
      <w:rFonts w:ascii="Baltica" w:eastAsia="Times New Roman" w:hAnsi="Baltica"/>
      <w:i/>
      <w:sz w:val="23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06A01"/>
    <w:pPr>
      <w:keepNext/>
      <w:spacing w:before="40" w:after="40" w:line="208" w:lineRule="auto"/>
      <w:jc w:val="both"/>
      <w:outlineLvl w:val="7"/>
    </w:pPr>
    <w:rPr>
      <w:rFonts w:ascii="Baltica" w:eastAsia="Times New Roman" w:hAnsi="Baltica"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06A01"/>
    <w:pPr>
      <w:tabs>
        <w:tab w:val="num" w:pos="1584"/>
      </w:tabs>
      <w:spacing w:before="240" w:after="60" w:line="228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6A01"/>
    <w:rPr>
      <w:rFonts w:ascii="Times New Roman" w:eastAsia="Times New Roman" w:hAnsi="Times New Roman" w:cs="Times New Roman"/>
      <w:i/>
      <w:spacing w:val="-6"/>
      <w:szCs w:val="20"/>
      <w:lang w:eastAsia="ru-RU"/>
    </w:rPr>
  </w:style>
  <w:style w:type="character" w:customStyle="1" w:styleId="20">
    <w:name w:val="Заголовок 2 Знак"/>
    <w:link w:val="2"/>
    <w:semiHidden/>
    <w:rsid w:val="00306A01"/>
    <w:rPr>
      <w:rFonts w:ascii="Baltica" w:eastAsia="Times New Roman" w:hAnsi="Baltica" w:cs="Times New Roman"/>
      <w:i/>
      <w:spacing w:val="2"/>
      <w:szCs w:val="20"/>
      <w:lang w:val="ru-RU" w:eastAsia="ru-RU"/>
    </w:rPr>
  </w:style>
  <w:style w:type="character" w:customStyle="1" w:styleId="30">
    <w:name w:val="Заголовок 3 Знак"/>
    <w:link w:val="3"/>
    <w:semiHidden/>
    <w:rsid w:val="00306A01"/>
    <w:rPr>
      <w:rFonts w:ascii="FuturisExtra" w:eastAsia="Times New Roman" w:hAnsi="FuturisExtra" w:cs="Times New Roman"/>
      <w:noProof/>
      <w:color w:val="008080"/>
      <w:spacing w:val="14"/>
      <w:sz w:val="32"/>
      <w:szCs w:val="20"/>
      <w:lang w:val="ru-RU" w:eastAsia="ru-RU"/>
    </w:rPr>
  </w:style>
  <w:style w:type="character" w:customStyle="1" w:styleId="40">
    <w:name w:val="Заголовок 4 Знак"/>
    <w:link w:val="4"/>
    <w:semiHidden/>
    <w:rsid w:val="00306A01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link w:val="5"/>
    <w:semiHidden/>
    <w:rsid w:val="00306A01"/>
    <w:rPr>
      <w:rFonts w:ascii="Baltica" w:eastAsia="Times New Roman" w:hAnsi="Baltica" w:cs="Times New Roman"/>
      <w:i/>
      <w:sz w:val="23"/>
      <w:szCs w:val="20"/>
      <w:u w:val="single"/>
      <w:lang w:eastAsia="ru-RU"/>
    </w:rPr>
  </w:style>
  <w:style w:type="character" w:customStyle="1" w:styleId="60">
    <w:name w:val="Заголовок 6 Знак"/>
    <w:link w:val="6"/>
    <w:semiHidden/>
    <w:rsid w:val="00306A01"/>
    <w:rPr>
      <w:rFonts w:ascii="Baltica" w:eastAsia="Times New Roman" w:hAnsi="Baltica" w:cs="Times New Roman"/>
      <w:i/>
      <w:sz w:val="20"/>
      <w:szCs w:val="20"/>
      <w:lang w:val="ru-RU" w:eastAsia="ru-RU"/>
    </w:rPr>
  </w:style>
  <w:style w:type="character" w:customStyle="1" w:styleId="70">
    <w:name w:val="Заголовок 7 Знак"/>
    <w:link w:val="7"/>
    <w:semiHidden/>
    <w:rsid w:val="00306A01"/>
    <w:rPr>
      <w:rFonts w:ascii="Baltica" w:eastAsia="Times New Roman" w:hAnsi="Baltica" w:cs="Times New Roman"/>
      <w:i/>
      <w:sz w:val="23"/>
      <w:szCs w:val="20"/>
      <w:lang w:eastAsia="ru-RU"/>
    </w:rPr>
  </w:style>
  <w:style w:type="character" w:customStyle="1" w:styleId="80">
    <w:name w:val="Заголовок 8 Знак"/>
    <w:link w:val="8"/>
    <w:semiHidden/>
    <w:rsid w:val="00306A01"/>
    <w:rPr>
      <w:rFonts w:ascii="Baltica" w:eastAsia="Times New Roman" w:hAnsi="Baltica" w:cs="Times New Roman"/>
      <w:i/>
      <w:szCs w:val="20"/>
      <w:lang w:eastAsia="ru-RU"/>
    </w:rPr>
  </w:style>
  <w:style w:type="character" w:customStyle="1" w:styleId="90">
    <w:name w:val="Заголовок 9 Знак"/>
    <w:link w:val="9"/>
    <w:semiHidden/>
    <w:rsid w:val="00306A01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306A01"/>
  </w:style>
  <w:style w:type="numbering" w:customStyle="1" w:styleId="110">
    <w:name w:val="Немає списку11"/>
    <w:next w:val="a2"/>
    <w:uiPriority w:val="99"/>
    <w:semiHidden/>
    <w:unhideWhenUsed/>
    <w:rsid w:val="00306A01"/>
  </w:style>
  <w:style w:type="character" w:styleId="a3">
    <w:name w:val="Hyperlink"/>
    <w:semiHidden/>
    <w:unhideWhenUsed/>
    <w:rsid w:val="00306A01"/>
    <w:rPr>
      <w:color w:val="0000FF"/>
      <w:u w:val="single"/>
    </w:rPr>
  </w:style>
  <w:style w:type="character" w:styleId="a4">
    <w:name w:val="FollowedHyperlink"/>
    <w:semiHidden/>
    <w:unhideWhenUsed/>
    <w:rsid w:val="00306A01"/>
    <w:rPr>
      <w:color w:val="800080"/>
      <w:u w:val="single"/>
    </w:rPr>
  </w:style>
  <w:style w:type="character" w:styleId="HTML">
    <w:name w:val="HTML Keyboard"/>
    <w:semiHidden/>
    <w:unhideWhenUsed/>
    <w:rsid w:val="00306A01"/>
    <w:rPr>
      <w:rFonts w:ascii="Arial Unicode MS" w:eastAsia="Arial Unicode MS" w:hAnsi="Arial Unicode MS" w:cs="Arial Unicode MS" w:hint="default"/>
      <w:sz w:val="20"/>
      <w:szCs w:val="20"/>
    </w:rPr>
  </w:style>
  <w:style w:type="paragraph" w:styleId="HTML0">
    <w:name w:val="HTML Preformatted"/>
    <w:basedOn w:val="a"/>
    <w:link w:val="HTML1"/>
    <w:semiHidden/>
    <w:unhideWhenUsed/>
    <w:rsid w:val="00306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40" w:line="228" w:lineRule="auto"/>
      <w:jc w:val="both"/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ий HTML Знак"/>
    <w:link w:val="HTML0"/>
    <w:semiHidden/>
    <w:rsid w:val="00306A01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styleId="a5">
    <w:name w:val="Strong"/>
    <w:qFormat/>
    <w:rsid w:val="00306A01"/>
    <w:rPr>
      <w:b/>
      <w:bCs w:val="0"/>
    </w:rPr>
  </w:style>
  <w:style w:type="paragraph" w:customStyle="1" w:styleId="msonormal0">
    <w:name w:val="msonormal"/>
    <w:basedOn w:val="a"/>
    <w:rsid w:val="00306A01"/>
    <w:pPr>
      <w:spacing w:before="100" w:beforeAutospacing="1" w:after="100" w:afterAutospacing="1" w:line="228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Normal (Web)"/>
    <w:basedOn w:val="a"/>
    <w:semiHidden/>
    <w:unhideWhenUsed/>
    <w:rsid w:val="00306A01"/>
    <w:pPr>
      <w:spacing w:before="100" w:beforeAutospacing="1" w:after="100" w:afterAutospacing="1" w:line="228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7">
    <w:name w:val="annotation text"/>
    <w:basedOn w:val="a"/>
    <w:link w:val="a8"/>
    <w:semiHidden/>
    <w:unhideWhenUsed/>
    <w:rsid w:val="00306A01"/>
    <w:pPr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Текст примітки Знак"/>
    <w:link w:val="a7"/>
    <w:semiHidden/>
    <w:rsid w:val="00306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06A01"/>
    <w:pPr>
      <w:tabs>
        <w:tab w:val="center" w:pos="4153"/>
        <w:tab w:val="right" w:pos="8306"/>
      </w:tabs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ій колонтитул Знак"/>
    <w:link w:val="a9"/>
    <w:uiPriority w:val="99"/>
    <w:rsid w:val="00306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nhideWhenUsed/>
    <w:rsid w:val="00306A01"/>
    <w:pPr>
      <w:tabs>
        <w:tab w:val="center" w:pos="4153"/>
        <w:tab w:val="right" w:pos="8306"/>
      </w:tabs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Нижній колонтитул Знак"/>
    <w:link w:val="ab"/>
    <w:rsid w:val="00306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caption"/>
    <w:basedOn w:val="a"/>
    <w:next w:val="a"/>
    <w:semiHidden/>
    <w:unhideWhenUsed/>
    <w:qFormat/>
    <w:rsid w:val="00306A01"/>
    <w:pPr>
      <w:spacing w:before="40" w:after="40" w:line="228" w:lineRule="auto"/>
      <w:jc w:val="right"/>
    </w:pPr>
    <w:rPr>
      <w:rFonts w:ascii="Arial" w:eastAsia="Times New Roman" w:hAnsi="Arial"/>
      <w:b/>
      <w:i/>
      <w:sz w:val="20"/>
      <w:szCs w:val="20"/>
      <w:lang w:val="ru-RU" w:eastAsia="ru-RU"/>
    </w:rPr>
  </w:style>
  <w:style w:type="paragraph" w:styleId="ae">
    <w:name w:val="Body Text"/>
    <w:basedOn w:val="a"/>
    <w:link w:val="af"/>
    <w:semiHidden/>
    <w:unhideWhenUsed/>
    <w:rsid w:val="00306A01"/>
    <w:pPr>
      <w:spacing w:before="40" w:after="40" w:line="228" w:lineRule="auto"/>
      <w:jc w:val="both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af">
    <w:name w:val="Основний текст Знак"/>
    <w:link w:val="ae"/>
    <w:semiHidden/>
    <w:rsid w:val="00306A01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306A01"/>
    <w:pPr>
      <w:spacing w:before="40" w:after="40" w:line="228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1">
    <w:name w:val="Основний текст з відступом Знак"/>
    <w:link w:val="af0"/>
    <w:semiHidden/>
    <w:rsid w:val="00306A0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6A01"/>
    <w:pPr>
      <w:spacing w:before="40" w:after="40" w:line="228" w:lineRule="auto"/>
      <w:jc w:val="right"/>
    </w:pPr>
    <w:rPr>
      <w:rFonts w:ascii="Times New Roman" w:eastAsia="Times New Roman" w:hAnsi="Times New Roman"/>
      <w:i/>
      <w:sz w:val="23"/>
      <w:szCs w:val="20"/>
      <w:lang w:eastAsia="ru-RU"/>
    </w:rPr>
  </w:style>
  <w:style w:type="character" w:customStyle="1" w:styleId="22">
    <w:name w:val="Основний текст 2 Знак"/>
    <w:link w:val="21"/>
    <w:semiHidden/>
    <w:rsid w:val="00306A01"/>
    <w:rPr>
      <w:rFonts w:ascii="Times New Roman" w:eastAsia="Times New Roman" w:hAnsi="Times New Roman" w:cs="Times New Roman"/>
      <w:i/>
      <w:sz w:val="23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06A01"/>
    <w:pPr>
      <w:spacing w:before="40" w:after="40" w:line="228" w:lineRule="auto"/>
      <w:ind w:firstLine="709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24">
    <w:name w:val="Основний текст з відступом 2 Знак"/>
    <w:link w:val="23"/>
    <w:semiHidden/>
    <w:rsid w:val="00306A01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306A01"/>
    <w:pPr>
      <w:spacing w:after="0" w:line="240" w:lineRule="auto"/>
      <w:jc w:val="both"/>
    </w:pPr>
    <w:rPr>
      <w:szCs w:val="21"/>
    </w:rPr>
  </w:style>
  <w:style w:type="character" w:customStyle="1" w:styleId="af3">
    <w:name w:val="Текст Знак"/>
    <w:link w:val="af2"/>
    <w:uiPriority w:val="99"/>
    <w:semiHidden/>
    <w:rsid w:val="00306A01"/>
    <w:rPr>
      <w:rFonts w:ascii="Calibri" w:eastAsia="Calibri" w:hAnsi="Calibri" w:cs="Times New Roman"/>
      <w:szCs w:val="21"/>
    </w:rPr>
  </w:style>
  <w:style w:type="paragraph" w:styleId="af4">
    <w:name w:val="annotation subject"/>
    <w:basedOn w:val="a7"/>
    <w:next w:val="a7"/>
    <w:link w:val="af5"/>
    <w:semiHidden/>
    <w:unhideWhenUsed/>
    <w:rsid w:val="00306A01"/>
    <w:rPr>
      <w:b/>
      <w:bCs/>
    </w:rPr>
  </w:style>
  <w:style w:type="character" w:customStyle="1" w:styleId="af5">
    <w:name w:val="Тема примітки Знак"/>
    <w:link w:val="af4"/>
    <w:semiHidden/>
    <w:rsid w:val="00306A0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semiHidden/>
    <w:unhideWhenUsed/>
    <w:rsid w:val="00306A01"/>
    <w:pPr>
      <w:spacing w:before="40" w:after="40" w:line="228" w:lineRule="auto"/>
      <w:jc w:val="both"/>
    </w:pPr>
    <w:rPr>
      <w:rFonts w:ascii="Segoe UI" w:eastAsia="Times New Roman" w:hAnsi="Segoe UI"/>
      <w:sz w:val="18"/>
      <w:szCs w:val="18"/>
      <w:lang w:val="ru-RU" w:eastAsia="ru-RU"/>
    </w:rPr>
  </w:style>
  <w:style w:type="character" w:customStyle="1" w:styleId="af7">
    <w:name w:val="Текст у виносці Знак"/>
    <w:link w:val="af6"/>
    <w:semiHidden/>
    <w:rsid w:val="00306A01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Table">
    <w:name w:val="Table"/>
    <w:basedOn w:val="a"/>
    <w:uiPriority w:val="99"/>
    <w:rsid w:val="00306A01"/>
    <w:pPr>
      <w:spacing w:before="40" w:after="40" w:line="228" w:lineRule="auto"/>
      <w:jc w:val="both"/>
    </w:pPr>
    <w:rPr>
      <w:rFonts w:ascii="Baltica" w:eastAsia="Times New Roman" w:hAnsi="Baltica"/>
      <w:noProof/>
      <w:szCs w:val="20"/>
      <w:lang w:val="ru-RU" w:eastAsia="ru-RU"/>
    </w:rPr>
  </w:style>
  <w:style w:type="paragraph" w:customStyle="1" w:styleId="12">
    <w:name w:val="заголовок 1"/>
    <w:basedOn w:val="a"/>
    <w:next w:val="a"/>
    <w:uiPriority w:val="99"/>
    <w:rsid w:val="00306A01"/>
    <w:pPr>
      <w:keepNext/>
      <w:keepLines/>
      <w:widowControl w:val="0"/>
      <w:suppressAutoHyphens/>
      <w:snapToGrid w:val="0"/>
      <w:spacing w:before="360" w:after="240" w:line="228" w:lineRule="auto"/>
      <w:jc w:val="center"/>
    </w:pPr>
    <w:rPr>
      <w:rFonts w:ascii="FuturisExtra" w:eastAsia="Times New Roman" w:hAnsi="FuturisExtra"/>
      <w:spacing w:val="8"/>
      <w:kern w:val="28"/>
      <w:sz w:val="34"/>
      <w:szCs w:val="20"/>
      <w:lang w:eastAsia="ru-RU"/>
    </w:rPr>
  </w:style>
  <w:style w:type="paragraph" w:customStyle="1" w:styleId="caaieiaie1">
    <w:name w:val="caaieiaie 1"/>
    <w:basedOn w:val="a"/>
    <w:next w:val="a"/>
    <w:rsid w:val="00306A01"/>
    <w:pPr>
      <w:keepNext/>
      <w:keepLines/>
      <w:widowControl w:val="0"/>
      <w:suppressAutoHyphens/>
      <w:spacing w:before="360" w:after="240" w:line="228" w:lineRule="auto"/>
      <w:jc w:val="center"/>
    </w:pPr>
    <w:rPr>
      <w:rFonts w:ascii="FuturisExtra" w:eastAsia="Times New Roman" w:hAnsi="FuturisExtra"/>
      <w:spacing w:val="8"/>
      <w:kern w:val="28"/>
      <w:sz w:val="34"/>
      <w:szCs w:val="20"/>
      <w:lang w:eastAsia="ru-RU"/>
    </w:rPr>
  </w:style>
  <w:style w:type="paragraph" w:customStyle="1" w:styleId="Normal1">
    <w:name w:val="Normal1"/>
    <w:rsid w:val="00306A01"/>
    <w:pPr>
      <w:spacing w:before="40" w:after="40" w:line="228" w:lineRule="auto"/>
      <w:jc w:val="both"/>
    </w:pPr>
    <w:rPr>
      <w:rFonts w:ascii="Baltica" w:eastAsia="Times New Roman" w:hAnsi="Baltica"/>
      <w:kern w:val="16"/>
      <w:sz w:val="24"/>
      <w:lang w:val="ru-RU" w:eastAsia="ru-RU"/>
    </w:rPr>
  </w:style>
  <w:style w:type="paragraph" w:customStyle="1" w:styleId="Shapka">
    <w:name w:val="Shapka"/>
    <w:rsid w:val="00306A01"/>
    <w:pPr>
      <w:spacing w:before="60" w:after="60" w:line="228" w:lineRule="auto"/>
      <w:jc w:val="center"/>
    </w:pPr>
    <w:rPr>
      <w:rFonts w:ascii="Peterburg" w:eastAsia="Times New Roman" w:hAnsi="Peterburg"/>
      <w:sz w:val="18"/>
      <w:lang w:eastAsia="ru-RU"/>
    </w:rPr>
  </w:style>
  <w:style w:type="paragraph" w:customStyle="1" w:styleId="31">
    <w:name w:val="заголовок 3"/>
    <w:basedOn w:val="5"/>
    <w:next w:val="a"/>
    <w:rsid w:val="00306A01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customStyle="1" w:styleId="51">
    <w:name w:val="çàãîëîâîê 5"/>
    <w:basedOn w:val="a"/>
    <w:next w:val="a"/>
    <w:rsid w:val="00306A01"/>
    <w:pPr>
      <w:widowControl w:val="0"/>
      <w:overflowPunct w:val="0"/>
      <w:autoSpaceDE w:val="0"/>
      <w:autoSpaceDN w:val="0"/>
      <w:adjustRightInd w:val="0"/>
      <w:spacing w:before="40" w:after="60" w:line="264" w:lineRule="auto"/>
      <w:jc w:val="center"/>
    </w:pPr>
    <w:rPr>
      <w:rFonts w:ascii="Arial" w:eastAsia="Times New Roman" w:hAnsi="Arial"/>
      <w:b/>
      <w:noProof/>
      <w:spacing w:val="6"/>
      <w:szCs w:val="20"/>
      <w:lang w:val="ru-RU" w:eastAsia="ru-RU"/>
    </w:rPr>
  </w:style>
  <w:style w:type="paragraph" w:customStyle="1" w:styleId="Ofisial">
    <w:name w:val="Ofisial"/>
    <w:basedOn w:val="a"/>
    <w:rsid w:val="00306A01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</w:pPr>
    <w:rPr>
      <w:rFonts w:ascii="Baltica" w:eastAsia="Times New Roman" w:hAnsi="Baltica"/>
      <w:noProof/>
      <w:szCs w:val="20"/>
      <w:lang w:val="ru-RU" w:eastAsia="ru-RU"/>
    </w:rPr>
  </w:style>
  <w:style w:type="paragraph" w:customStyle="1" w:styleId="caaieiaie5">
    <w:name w:val="caaieiaie 5"/>
    <w:basedOn w:val="a"/>
    <w:next w:val="a"/>
    <w:rsid w:val="00306A01"/>
    <w:pPr>
      <w:widowControl w:val="0"/>
      <w:overflowPunct w:val="0"/>
      <w:autoSpaceDE w:val="0"/>
      <w:autoSpaceDN w:val="0"/>
      <w:adjustRightInd w:val="0"/>
      <w:spacing w:before="40" w:after="60" w:line="264" w:lineRule="auto"/>
      <w:jc w:val="center"/>
    </w:pPr>
    <w:rPr>
      <w:rFonts w:ascii="Arial" w:eastAsia="Times New Roman" w:hAnsi="Arial"/>
      <w:b/>
      <w:noProof/>
      <w:spacing w:val="6"/>
      <w:szCs w:val="20"/>
      <w:lang w:val="ru-RU" w:eastAsia="ru-RU"/>
    </w:rPr>
  </w:style>
  <w:style w:type="paragraph" w:customStyle="1" w:styleId="rvps2">
    <w:name w:val="rvps2"/>
    <w:basedOn w:val="a"/>
    <w:rsid w:val="00306A01"/>
    <w:pPr>
      <w:spacing w:before="40" w:after="100" w:afterAutospacing="1" w:line="228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Звичайний1"/>
    <w:rsid w:val="00306A01"/>
    <w:rPr>
      <w:rFonts w:ascii="Times New Roman" w:eastAsia="Times New Roman" w:hAnsi="Times New Roman"/>
      <w:lang w:val="ru-RU" w:eastAsia="ru-RU"/>
    </w:rPr>
  </w:style>
  <w:style w:type="paragraph" w:customStyle="1" w:styleId="table0">
    <w:name w:val="table"/>
    <w:basedOn w:val="a"/>
    <w:rsid w:val="00306A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8">
    <w:name w:val="annotation reference"/>
    <w:semiHidden/>
    <w:unhideWhenUsed/>
    <w:rsid w:val="00306A01"/>
    <w:rPr>
      <w:sz w:val="16"/>
      <w:szCs w:val="16"/>
    </w:rPr>
  </w:style>
  <w:style w:type="character" w:customStyle="1" w:styleId="af9">
    <w:name w:val="Основной шрифт"/>
    <w:rsid w:val="00306A01"/>
  </w:style>
  <w:style w:type="character" w:customStyle="1" w:styleId="std">
    <w:name w:val="std"/>
    <w:basedOn w:val="a0"/>
    <w:rsid w:val="00306A01"/>
  </w:style>
  <w:style w:type="character" w:customStyle="1" w:styleId="gl">
    <w:name w:val="gl"/>
    <w:basedOn w:val="a0"/>
    <w:rsid w:val="00306A01"/>
  </w:style>
  <w:style w:type="character" w:customStyle="1" w:styleId="rvts23">
    <w:name w:val="rvts23"/>
    <w:rsid w:val="0030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1969-DA86-4E6C-9B83-575E4EA6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38585</Words>
  <Characters>21995</Characters>
  <Application>Microsoft Office Word</Application>
  <DocSecurity>0</DocSecurity>
  <Lines>183</Lines>
  <Paragraphs>120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Лілейко Надія Романівна</dc:creator>
  <cp:keywords/>
  <cp:lastModifiedBy>Істратенко Ігор Миколайович</cp:lastModifiedBy>
  <cp:revision>4</cp:revision>
  <cp:lastPrinted>2021-05-31T13:10:00Z</cp:lastPrinted>
  <dcterms:created xsi:type="dcterms:W3CDTF">2021-05-31T14:07:00Z</dcterms:created>
  <dcterms:modified xsi:type="dcterms:W3CDTF">2021-05-31T14:11:00Z</dcterms:modified>
</cp:coreProperties>
</file>